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4BF1F" w14:textId="4F2D82B8" w:rsidR="00963CA6" w:rsidRPr="002C7337" w:rsidRDefault="00963CA6" w:rsidP="002C7337">
      <w:pPr>
        <w:spacing w:after="0" w:line="240" w:lineRule="auto"/>
        <w:jc w:val="center"/>
        <w:rPr>
          <w:rFonts w:cs="Calibri"/>
          <w:b/>
          <w:bCs/>
          <w:sz w:val="28"/>
          <w:szCs w:val="26"/>
        </w:rPr>
      </w:pPr>
      <w:bookmarkStart w:id="0" w:name="_Hlk98856984"/>
      <w:bookmarkStart w:id="1" w:name="_GoBack"/>
      <w:bookmarkEnd w:id="1"/>
      <w:r w:rsidRPr="002C7337">
        <w:rPr>
          <w:rFonts w:cs="Calibri"/>
          <w:b/>
          <w:bCs/>
          <w:sz w:val="28"/>
          <w:szCs w:val="26"/>
        </w:rPr>
        <w:t>Informativa urgente del Governo su</w:t>
      </w:r>
      <w:r w:rsidR="00393E78" w:rsidRPr="002C7337">
        <w:rPr>
          <w:rFonts w:cs="Calibri"/>
          <w:b/>
          <w:bCs/>
          <w:sz w:val="28"/>
          <w:szCs w:val="26"/>
        </w:rPr>
        <w:t>gli ulteriori rincari dei costi d</w:t>
      </w:r>
      <w:r w:rsidRPr="002C7337">
        <w:rPr>
          <w:rFonts w:cs="Calibri"/>
          <w:b/>
          <w:bCs/>
          <w:sz w:val="28"/>
          <w:szCs w:val="26"/>
        </w:rPr>
        <w:t xml:space="preserve">ell’energia </w:t>
      </w:r>
    </w:p>
    <w:p w14:paraId="5D5F5DE1" w14:textId="4BCE051C" w:rsidR="00963CA6" w:rsidRPr="002C7337" w:rsidRDefault="00963CA6" w:rsidP="002C7337">
      <w:pPr>
        <w:spacing w:after="0" w:line="240" w:lineRule="auto"/>
        <w:jc w:val="center"/>
        <w:rPr>
          <w:rFonts w:cs="Calibri"/>
          <w:b/>
          <w:bCs/>
          <w:sz w:val="28"/>
          <w:szCs w:val="26"/>
        </w:rPr>
      </w:pPr>
      <w:r w:rsidRPr="002C7337">
        <w:rPr>
          <w:rFonts w:cs="Calibri"/>
          <w:b/>
          <w:bCs/>
          <w:sz w:val="28"/>
          <w:szCs w:val="26"/>
        </w:rPr>
        <w:t>e sulle misure adottate dal Governo per contrastarne gli effetti</w:t>
      </w:r>
    </w:p>
    <w:p w14:paraId="39A6EF72" w14:textId="77777777" w:rsidR="009E5307" w:rsidRPr="002C7337" w:rsidRDefault="009E5307" w:rsidP="002C7337">
      <w:pPr>
        <w:spacing w:after="0" w:line="240" w:lineRule="auto"/>
        <w:jc w:val="center"/>
        <w:rPr>
          <w:rFonts w:cs="Calibri"/>
          <w:b/>
          <w:bCs/>
          <w:sz w:val="28"/>
          <w:szCs w:val="26"/>
        </w:rPr>
      </w:pPr>
    </w:p>
    <w:p w14:paraId="62FBDE95" w14:textId="667D42A4" w:rsidR="00963CA6" w:rsidRPr="002C7337" w:rsidRDefault="00393E78" w:rsidP="002C7337">
      <w:pPr>
        <w:spacing w:after="0"/>
        <w:jc w:val="center"/>
        <w:rPr>
          <w:rFonts w:cs="Calibri"/>
          <w:sz w:val="26"/>
          <w:szCs w:val="26"/>
        </w:rPr>
      </w:pPr>
      <w:r w:rsidRPr="002C7337">
        <w:rPr>
          <w:rFonts w:cs="Calibri"/>
          <w:bCs/>
          <w:sz w:val="26"/>
          <w:szCs w:val="26"/>
        </w:rPr>
        <w:t>Camera dei deputati</w:t>
      </w:r>
      <w:r w:rsidR="00963CA6" w:rsidRPr="002C7337">
        <w:rPr>
          <w:rFonts w:cs="Calibri"/>
          <w:bCs/>
          <w:sz w:val="26"/>
          <w:szCs w:val="26"/>
        </w:rPr>
        <w:t xml:space="preserve">, </w:t>
      </w:r>
      <w:r w:rsidRPr="002C7337">
        <w:rPr>
          <w:rFonts w:cs="Calibri"/>
          <w:bCs/>
          <w:sz w:val="26"/>
          <w:szCs w:val="26"/>
        </w:rPr>
        <w:t>22</w:t>
      </w:r>
      <w:r w:rsidR="00963CA6" w:rsidRPr="002C7337">
        <w:rPr>
          <w:rFonts w:cs="Calibri"/>
          <w:sz w:val="26"/>
          <w:szCs w:val="26"/>
        </w:rPr>
        <w:t xml:space="preserve"> marzo 2022</w:t>
      </w:r>
    </w:p>
    <w:p w14:paraId="1D9C7F59" w14:textId="77777777" w:rsidR="002C7337" w:rsidRPr="002C7337" w:rsidRDefault="002C7337" w:rsidP="002C7337">
      <w:pPr>
        <w:jc w:val="center"/>
        <w:rPr>
          <w:rFonts w:cs="Calibri"/>
          <w:b/>
          <w:bCs/>
          <w:sz w:val="26"/>
          <w:szCs w:val="26"/>
        </w:rPr>
      </w:pPr>
    </w:p>
    <w:p w14:paraId="3B011C25" w14:textId="73C26E8B" w:rsidR="00963CA6" w:rsidRPr="00892B1B" w:rsidRDefault="00963CA6" w:rsidP="00892B1B">
      <w:pPr>
        <w:rPr>
          <w:rFonts w:cstheme="minorHAnsi"/>
          <w:sz w:val="26"/>
          <w:szCs w:val="26"/>
        </w:rPr>
      </w:pPr>
    </w:p>
    <w:p w14:paraId="7CC5DF61" w14:textId="01C599E8" w:rsidR="00892B1B" w:rsidRPr="00892B1B" w:rsidRDefault="00892B1B" w:rsidP="00892B1B">
      <w:pPr>
        <w:rPr>
          <w:rFonts w:cstheme="minorHAnsi"/>
          <w:sz w:val="26"/>
          <w:szCs w:val="26"/>
        </w:rPr>
      </w:pPr>
      <w:r w:rsidRPr="00892B1B">
        <w:rPr>
          <w:rFonts w:cstheme="minorHAnsi"/>
          <w:sz w:val="26"/>
          <w:szCs w:val="26"/>
        </w:rPr>
        <w:t>L’informativa che il Governo rende oggi alla Camera dei deputati è strutturata sui seguenti punti:</w:t>
      </w:r>
    </w:p>
    <w:p w14:paraId="4E178625" w14:textId="77777777" w:rsidR="00892B1B" w:rsidRPr="00892B1B" w:rsidRDefault="00892B1B" w:rsidP="00892B1B">
      <w:pPr>
        <w:numPr>
          <w:ilvl w:val="0"/>
          <w:numId w:val="3"/>
        </w:numPr>
        <w:rPr>
          <w:rFonts w:cstheme="minorHAnsi"/>
          <w:bCs/>
          <w:sz w:val="26"/>
          <w:szCs w:val="26"/>
        </w:rPr>
      </w:pPr>
      <w:r w:rsidRPr="00892B1B">
        <w:rPr>
          <w:rFonts w:cstheme="minorHAnsi"/>
          <w:bCs/>
          <w:sz w:val="26"/>
          <w:szCs w:val="26"/>
        </w:rPr>
        <w:t>Stato attuale e possibile evoluzione dello scenario</w:t>
      </w:r>
    </w:p>
    <w:p w14:paraId="778227A8" w14:textId="77777777" w:rsidR="00892B1B" w:rsidRPr="00892B1B" w:rsidRDefault="00892B1B" w:rsidP="00892B1B">
      <w:pPr>
        <w:numPr>
          <w:ilvl w:val="0"/>
          <w:numId w:val="3"/>
        </w:numPr>
        <w:rPr>
          <w:rFonts w:cstheme="minorHAnsi"/>
          <w:bCs/>
          <w:sz w:val="26"/>
          <w:szCs w:val="26"/>
        </w:rPr>
      </w:pPr>
      <w:r w:rsidRPr="00892B1B">
        <w:rPr>
          <w:rFonts w:cstheme="minorHAnsi"/>
          <w:bCs/>
          <w:sz w:val="26"/>
          <w:szCs w:val="26"/>
        </w:rPr>
        <w:t>Possibili misure per incrementare la sicurezza del sistema a breve-medio termine</w:t>
      </w:r>
    </w:p>
    <w:p w14:paraId="57385FA6" w14:textId="77777777" w:rsidR="00892B1B" w:rsidRPr="00892B1B" w:rsidRDefault="00892B1B" w:rsidP="00892B1B">
      <w:pPr>
        <w:numPr>
          <w:ilvl w:val="0"/>
          <w:numId w:val="3"/>
        </w:numPr>
        <w:rPr>
          <w:rFonts w:cstheme="minorHAnsi"/>
          <w:bCs/>
          <w:sz w:val="26"/>
          <w:szCs w:val="26"/>
        </w:rPr>
      </w:pPr>
      <w:r w:rsidRPr="00892B1B">
        <w:rPr>
          <w:rFonts w:cstheme="minorHAnsi"/>
          <w:bCs/>
          <w:sz w:val="26"/>
          <w:szCs w:val="26"/>
        </w:rPr>
        <w:t>Possibili misure strutturali per eliminare la dipendenza di importazioni dalla Russia</w:t>
      </w:r>
    </w:p>
    <w:p w14:paraId="28BA5AD1" w14:textId="77777777" w:rsidR="00892B1B" w:rsidRPr="00892B1B" w:rsidRDefault="00892B1B" w:rsidP="00892B1B">
      <w:pPr>
        <w:numPr>
          <w:ilvl w:val="0"/>
          <w:numId w:val="3"/>
        </w:numPr>
        <w:rPr>
          <w:rFonts w:cstheme="minorHAnsi"/>
          <w:sz w:val="26"/>
          <w:szCs w:val="26"/>
        </w:rPr>
      </w:pPr>
      <w:r w:rsidRPr="00892B1B">
        <w:rPr>
          <w:rFonts w:cstheme="minorHAnsi"/>
          <w:sz w:val="26"/>
          <w:szCs w:val="26"/>
        </w:rPr>
        <w:t>I Costi dell’energia</w:t>
      </w:r>
    </w:p>
    <w:p w14:paraId="103AD2E7" w14:textId="77777777" w:rsidR="00892B1B" w:rsidRPr="00892B1B" w:rsidRDefault="00892B1B" w:rsidP="00892B1B">
      <w:pPr>
        <w:numPr>
          <w:ilvl w:val="0"/>
          <w:numId w:val="3"/>
        </w:numPr>
        <w:rPr>
          <w:rFonts w:cstheme="minorHAnsi"/>
          <w:bCs/>
          <w:sz w:val="26"/>
          <w:szCs w:val="26"/>
        </w:rPr>
      </w:pPr>
      <w:r w:rsidRPr="00892B1B">
        <w:rPr>
          <w:rFonts w:cstheme="minorHAnsi"/>
          <w:bCs/>
          <w:sz w:val="26"/>
          <w:szCs w:val="26"/>
        </w:rPr>
        <w:t>L’andamento dei prezzi di gas e carburanti </w:t>
      </w:r>
    </w:p>
    <w:p w14:paraId="3BB9ACA1" w14:textId="77777777" w:rsidR="00892B1B" w:rsidRPr="00892B1B" w:rsidRDefault="00892B1B" w:rsidP="00892B1B">
      <w:pPr>
        <w:numPr>
          <w:ilvl w:val="0"/>
          <w:numId w:val="3"/>
        </w:numPr>
        <w:rPr>
          <w:rFonts w:cstheme="minorHAnsi"/>
          <w:bCs/>
          <w:sz w:val="26"/>
          <w:szCs w:val="26"/>
        </w:rPr>
      </w:pPr>
      <w:r w:rsidRPr="00892B1B">
        <w:rPr>
          <w:rFonts w:cstheme="minorHAnsi"/>
          <w:bCs/>
          <w:sz w:val="26"/>
          <w:szCs w:val="26"/>
        </w:rPr>
        <w:t>Misure per contenere l’incremento dei prezzi di energia elettrica e gas naturale</w:t>
      </w:r>
    </w:p>
    <w:p w14:paraId="5D20659E" w14:textId="77777777" w:rsidR="00892B1B" w:rsidRPr="00892B1B" w:rsidRDefault="00892B1B" w:rsidP="00892B1B">
      <w:pPr>
        <w:rPr>
          <w:rFonts w:cstheme="minorHAnsi"/>
          <w:bCs/>
          <w:sz w:val="26"/>
          <w:szCs w:val="26"/>
        </w:rPr>
      </w:pPr>
    </w:p>
    <w:p w14:paraId="3EE2C42E" w14:textId="40659DF0" w:rsidR="00493AFB" w:rsidRPr="002C7337" w:rsidRDefault="001909A6" w:rsidP="00892B1B">
      <w:pPr>
        <w:pStyle w:val="Paragrafoelenco"/>
        <w:numPr>
          <w:ilvl w:val="0"/>
          <w:numId w:val="12"/>
        </w:numPr>
        <w:spacing w:after="120"/>
        <w:rPr>
          <w:b/>
          <w:bCs/>
          <w:sz w:val="26"/>
          <w:szCs w:val="26"/>
        </w:rPr>
      </w:pPr>
      <w:bookmarkStart w:id="2" w:name="_Hlk98856916"/>
      <w:r w:rsidRPr="002C7337">
        <w:rPr>
          <w:b/>
          <w:bCs/>
          <w:sz w:val="26"/>
          <w:szCs w:val="26"/>
        </w:rPr>
        <w:t>Stato attuale e possibile evoluzione dello scenario</w:t>
      </w:r>
    </w:p>
    <w:bookmarkEnd w:id="2"/>
    <w:p w14:paraId="71773A47" w14:textId="76063679" w:rsidR="00AB0130" w:rsidRPr="002C7337" w:rsidRDefault="001B49AC" w:rsidP="002C7337">
      <w:pPr>
        <w:autoSpaceDE w:val="0"/>
        <w:autoSpaceDN w:val="0"/>
        <w:adjustRightInd w:val="0"/>
        <w:spacing w:after="120" w:line="276" w:lineRule="auto"/>
        <w:rPr>
          <w:rFonts w:cstheme="minorHAnsi"/>
          <w:b/>
          <w:sz w:val="26"/>
          <w:szCs w:val="26"/>
        </w:rPr>
      </w:pPr>
      <w:r>
        <w:rPr>
          <w:rFonts w:cstheme="minorHAnsi"/>
          <w:bCs/>
          <w:sz w:val="26"/>
          <w:szCs w:val="26"/>
        </w:rPr>
        <w:t xml:space="preserve">I numeri principali relativi all’evoluzione del consumo di gas italiano sono i seguenti </w:t>
      </w:r>
      <w:r w:rsidR="007E1131" w:rsidRPr="002C7337">
        <w:rPr>
          <w:rFonts w:cstheme="minorHAnsi"/>
          <w:b/>
          <w:sz w:val="26"/>
          <w:szCs w:val="26"/>
        </w:rPr>
        <w:t>:</w:t>
      </w:r>
    </w:p>
    <w:p w14:paraId="547348CC" w14:textId="5E155B5C" w:rsidR="00D653AF" w:rsidRPr="002C7337" w:rsidRDefault="00286275" w:rsidP="00892B1B">
      <w:pPr>
        <w:pStyle w:val="Paragrafoelenco"/>
        <w:numPr>
          <w:ilvl w:val="0"/>
          <w:numId w:val="4"/>
        </w:numPr>
        <w:autoSpaceDE w:val="0"/>
        <w:autoSpaceDN w:val="0"/>
        <w:adjustRightInd w:val="0"/>
        <w:spacing w:after="120" w:line="276" w:lineRule="auto"/>
        <w:rPr>
          <w:rFonts w:cstheme="minorHAnsi"/>
          <w:b/>
          <w:sz w:val="26"/>
          <w:szCs w:val="26"/>
        </w:rPr>
      </w:pPr>
      <w:r w:rsidRPr="002C7337">
        <w:rPr>
          <w:rFonts w:cstheme="minorHAnsi"/>
          <w:bCs/>
          <w:sz w:val="26"/>
          <w:szCs w:val="26"/>
        </w:rPr>
        <w:t>I c</w:t>
      </w:r>
      <w:r w:rsidR="00D653AF" w:rsidRPr="002C7337">
        <w:rPr>
          <w:rFonts w:cstheme="minorHAnsi"/>
          <w:bCs/>
          <w:sz w:val="26"/>
          <w:szCs w:val="26"/>
        </w:rPr>
        <w:t>onsumi di gas naturale</w:t>
      </w:r>
      <w:r w:rsidRPr="002C7337">
        <w:rPr>
          <w:rFonts w:cstheme="minorHAnsi"/>
          <w:bCs/>
          <w:sz w:val="26"/>
          <w:szCs w:val="26"/>
        </w:rPr>
        <w:t xml:space="preserve"> </w:t>
      </w:r>
      <w:r w:rsidR="00564EEF" w:rsidRPr="002C7337">
        <w:rPr>
          <w:rFonts w:cstheme="minorHAnsi"/>
          <w:bCs/>
          <w:sz w:val="26"/>
          <w:szCs w:val="26"/>
        </w:rPr>
        <w:t>s</w:t>
      </w:r>
      <w:r w:rsidR="001B49AC">
        <w:rPr>
          <w:rFonts w:cstheme="minorHAnsi"/>
          <w:bCs/>
          <w:sz w:val="26"/>
          <w:szCs w:val="26"/>
        </w:rPr>
        <w:t>o</w:t>
      </w:r>
      <w:r w:rsidR="00564EEF" w:rsidRPr="002C7337">
        <w:rPr>
          <w:rFonts w:cstheme="minorHAnsi"/>
          <w:bCs/>
          <w:sz w:val="26"/>
          <w:szCs w:val="26"/>
        </w:rPr>
        <w:t>no</w:t>
      </w:r>
      <w:r w:rsidRPr="002C7337">
        <w:rPr>
          <w:rFonts w:cstheme="minorHAnsi"/>
          <w:bCs/>
          <w:sz w:val="26"/>
          <w:szCs w:val="26"/>
        </w:rPr>
        <w:t xml:space="preserve"> rimasti</w:t>
      </w:r>
      <w:r w:rsidR="00D653AF" w:rsidRPr="002C7337">
        <w:rPr>
          <w:rFonts w:cstheme="minorHAnsi"/>
          <w:bCs/>
          <w:sz w:val="26"/>
          <w:szCs w:val="26"/>
        </w:rPr>
        <w:t xml:space="preserve"> </w:t>
      </w:r>
      <w:r w:rsidR="00D653AF" w:rsidRPr="002C7337">
        <w:rPr>
          <w:rFonts w:cstheme="minorHAnsi"/>
          <w:b/>
          <w:sz w:val="26"/>
          <w:szCs w:val="26"/>
        </w:rPr>
        <w:t>sostan</w:t>
      </w:r>
      <w:r w:rsidR="00FC30D4" w:rsidRPr="002C7337">
        <w:rPr>
          <w:rFonts w:cstheme="minorHAnsi"/>
          <w:b/>
          <w:sz w:val="26"/>
          <w:szCs w:val="26"/>
        </w:rPr>
        <w:t>zialmente stabili</w:t>
      </w:r>
      <w:r w:rsidR="00FC30D4" w:rsidRPr="002C7337">
        <w:rPr>
          <w:rFonts w:cstheme="minorHAnsi"/>
          <w:bCs/>
          <w:sz w:val="26"/>
          <w:szCs w:val="26"/>
        </w:rPr>
        <w:t xml:space="preserve"> ne</w:t>
      </w:r>
      <w:r w:rsidR="000A22A6" w:rsidRPr="002C7337">
        <w:rPr>
          <w:rFonts w:cstheme="minorHAnsi"/>
          <w:bCs/>
          <w:sz w:val="26"/>
          <w:szCs w:val="26"/>
        </w:rPr>
        <w:t xml:space="preserve">gli </w:t>
      </w:r>
      <w:r w:rsidR="00FC30D4" w:rsidRPr="002C7337">
        <w:rPr>
          <w:rFonts w:cstheme="minorHAnsi"/>
          <w:bCs/>
          <w:sz w:val="26"/>
          <w:szCs w:val="26"/>
        </w:rPr>
        <w:t>ultim</w:t>
      </w:r>
      <w:r w:rsidR="000A22A6" w:rsidRPr="002C7337">
        <w:rPr>
          <w:rFonts w:cstheme="minorHAnsi"/>
          <w:bCs/>
          <w:sz w:val="26"/>
          <w:szCs w:val="26"/>
        </w:rPr>
        <w:t>i venti anni</w:t>
      </w:r>
      <w:r w:rsidR="00FC30D4" w:rsidRPr="002C7337">
        <w:rPr>
          <w:rFonts w:cstheme="minorHAnsi"/>
          <w:bCs/>
          <w:sz w:val="26"/>
          <w:szCs w:val="26"/>
        </w:rPr>
        <w:t>, pari a 76 bcm</w:t>
      </w:r>
      <w:r w:rsidRPr="002C7337">
        <w:rPr>
          <w:rFonts w:cstheme="minorHAnsi"/>
          <w:bCs/>
          <w:sz w:val="26"/>
          <w:szCs w:val="26"/>
        </w:rPr>
        <w:t xml:space="preserve"> (miliardi di metri cubi)</w:t>
      </w:r>
      <w:r w:rsidR="00FC30D4" w:rsidRPr="002C7337">
        <w:rPr>
          <w:rFonts w:cstheme="minorHAnsi"/>
          <w:bCs/>
          <w:sz w:val="26"/>
          <w:szCs w:val="26"/>
        </w:rPr>
        <w:t xml:space="preserve"> </w:t>
      </w:r>
      <w:r w:rsidRPr="002C7337">
        <w:rPr>
          <w:rFonts w:cstheme="minorHAnsi"/>
          <w:bCs/>
          <w:sz w:val="26"/>
          <w:szCs w:val="26"/>
        </w:rPr>
        <w:t>nel 2021</w:t>
      </w:r>
      <w:r w:rsidR="00264ECE" w:rsidRPr="002C7337">
        <w:rPr>
          <w:rFonts w:cstheme="minorHAnsi"/>
          <w:bCs/>
          <w:sz w:val="26"/>
          <w:szCs w:val="26"/>
        </w:rPr>
        <w:t>.</w:t>
      </w:r>
    </w:p>
    <w:p w14:paraId="31F529F3" w14:textId="6F688395" w:rsidR="001B49AC" w:rsidRPr="001B49AC" w:rsidRDefault="00286275" w:rsidP="00892B1B">
      <w:pPr>
        <w:pStyle w:val="Paragrafoelenco"/>
        <w:numPr>
          <w:ilvl w:val="0"/>
          <w:numId w:val="4"/>
        </w:numPr>
        <w:autoSpaceDE w:val="0"/>
        <w:autoSpaceDN w:val="0"/>
        <w:adjustRightInd w:val="0"/>
        <w:spacing w:after="120" w:line="276" w:lineRule="auto"/>
        <w:rPr>
          <w:rFonts w:cstheme="minorHAnsi"/>
          <w:b/>
          <w:sz w:val="26"/>
          <w:szCs w:val="26"/>
        </w:rPr>
      </w:pPr>
      <w:r w:rsidRPr="002C7337">
        <w:rPr>
          <w:rFonts w:cstheme="minorHAnsi"/>
          <w:bCs/>
          <w:sz w:val="26"/>
          <w:szCs w:val="26"/>
        </w:rPr>
        <w:t xml:space="preserve">Nello stesso periodo, la </w:t>
      </w:r>
      <w:r w:rsidRPr="002C7337">
        <w:rPr>
          <w:rFonts w:cstheme="minorHAnsi"/>
          <w:b/>
          <w:sz w:val="26"/>
          <w:szCs w:val="26"/>
        </w:rPr>
        <w:t>p</w:t>
      </w:r>
      <w:r w:rsidR="004A4299" w:rsidRPr="002C7337">
        <w:rPr>
          <w:rFonts w:cstheme="minorHAnsi"/>
          <w:b/>
          <w:sz w:val="26"/>
          <w:szCs w:val="26"/>
        </w:rPr>
        <w:t xml:space="preserve">roduzione nazionale di gas naturale </w:t>
      </w:r>
      <w:r w:rsidRPr="002C7337">
        <w:rPr>
          <w:rFonts w:cstheme="minorHAnsi"/>
          <w:b/>
          <w:sz w:val="26"/>
          <w:szCs w:val="26"/>
        </w:rPr>
        <w:t xml:space="preserve">si </w:t>
      </w:r>
      <w:r w:rsidR="001B49AC">
        <w:rPr>
          <w:rFonts w:cstheme="minorHAnsi"/>
          <w:b/>
          <w:sz w:val="26"/>
          <w:szCs w:val="26"/>
        </w:rPr>
        <w:t>è</w:t>
      </w:r>
      <w:r w:rsidRPr="002C7337">
        <w:rPr>
          <w:rFonts w:cstheme="minorHAnsi"/>
          <w:b/>
          <w:sz w:val="26"/>
          <w:szCs w:val="26"/>
        </w:rPr>
        <w:t xml:space="preserve"> </w:t>
      </w:r>
      <w:r w:rsidR="000A22A6" w:rsidRPr="002C7337">
        <w:rPr>
          <w:rFonts w:cstheme="minorHAnsi"/>
          <w:b/>
          <w:sz w:val="26"/>
          <w:szCs w:val="26"/>
        </w:rPr>
        <w:t>ridotta</w:t>
      </w:r>
      <w:r w:rsidR="004A4299" w:rsidRPr="002C7337">
        <w:rPr>
          <w:rFonts w:cstheme="minorHAnsi"/>
          <w:bCs/>
          <w:sz w:val="26"/>
          <w:szCs w:val="26"/>
        </w:rPr>
        <w:t xml:space="preserve">, </w:t>
      </w:r>
      <w:r w:rsidR="00873F09" w:rsidRPr="002C7337">
        <w:rPr>
          <w:rFonts w:cstheme="minorHAnsi"/>
          <w:bCs/>
          <w:sz w:val="26"/>
          <w:szCs w:val="26"/>
        </w:rPr>
        <w:t xml:space="preserve">per il calo naturale dei giacimenti a </w:t>
      </w:r>
      <w:r w:rsidR="001B49AC">
        <w:rPr>
          <w:rFonts w:cstheme="minorHAnsi"/>
          <w:bCs/>
          <w:sz w:val="26"/>
          <w:szCs w:val="26"/>
        </w:rPr>
        <w:t xml:space="preserve">l’assenza di investimenti in </w:t>
      </w:r>
      <w:r w:rsidR="00873F09" w:rsidRPr="002C7337">
        <w:rPr>
          <w:rFonts w:cstheme="minorHAnsi"/>
          <w:bCs/>
          <w:sz w:val="26"/>
          <w:szCs w:val="26"/>
        </w:rPr>
        <w:t xml:space="preserve">ricerca e produzione, </w:t>
      </w:r>
      <w:r w:rsidR="001B49AC">
        <w:rPr>
          <w:rFonts w:cstheme="minorHAnsi"/>
          <w:bCs/>
          <w:sz w:val="26"/>
          <w:szCs w:val="26"/>
        </w:rPr>
        <w:t xml:space="preserve">da circa 15 bcm nel 2001 a circa </w:t>
      </w:r>
      <w:r w:rsidR="004A4299" w:rsidRPr="002C7337">
        <w:rPr>
          <w:rFonts w:cstheme="minorHAnsi"/>
          <w:bCs/>
          <w:sz w:val="26"/>
          <w:szCs w:val="26"/>
        </w:rPr>
        <w:t xml:space="preserve">3 bcm </w:t>
      </w:r>
      <w:r w:rsidR="001B49AC">
        <w:rPr>
          <w:rFonts w:cstheme="minorHAnsi"/>
          <w:bCs/>
          <w:sz w:val="26"/>
          <w:szCs w:val="26"/>
        </w:rPr>
        <w:t xml:space="preserve">nel 2021. </w:t>
      </w:r>
    </w:p>
    <w:p w14:paraId="7C97D6DB" w14:textId="19294384" w:rsidR="004A4299" w:rsidRPr="002C7337" w:rsidRDefault="001B49AC" w:rsidP="00892B1B">
      <w:pPr>
        <w:pStyle w:val="Paragrafoelenco"/>
        <w:numPr>
          <w:ilvl w:val="0"/>
          <w:numId w:val="4"/>
        </w:numPr>
        <w:autoSpaceDE w:val="0"/>
        <w:autoSpaceDN w:val="0"/>
        <w:adjustRightInd w:val="0"/>
        <w:spacing w:after="120" w:line="276" w:lineRule="auto"/>
        <w:rPr>
          <w:rFonts w:cstheme="minorHAnsi"/>
          <w:b/>
          <w:sz w:val="26"/>
          <w:szCs w:val="26"/>
        </w:rPr>
      </w:pPr>
      <w:r>
        <w:rPr>
          <w:rFonts w:cstheme="minorHAnsi"/>
          <w:bCs/>
          <w:sz w:val="26"/>
          <w:szCs w:val="26"/>
        </w:rPr>
        <w:t xml:space="preserve">Pertanto siamo diventati quasi completamente dipendenti dalle importazioni: </w:t>
      </w:r>
      <w:r w:rsidR="004C0ED8" w:rsidRPr="002C7337">
        <w:rPr>
          <w:rFonts w:cstheme="minorHAnsi"/>
          <w:bCs/>
          <w:sz w:val="26"/>
          <w:szCs w:val="26"/>
        </w:rPr>
        <w:t xml:space="preserve">Oggi oltre il 95% del gas naturale consumato in Italia viene </w:t>
      </w:r>
      <w:r w:rsidR="00286275" w:rsidRPr="002C7337">
        <w:rPr>
          <w:rFonts w:cstheme="minorHAnsi"/>
          <w:bCs/>
          <w:sz w:val="26"/>
          <w:szCs w:val="26"/>
        </w:rPr>
        <w:t xml:space="preserve">quindi </w:t>
      </w:r>
      <w:r w:rsidR="004C0ED8" w:rsidRPr="002C7337">
        <w:rPr>
          <w:rFonts w:cstheme="minorHAnsi"/>
          <w:bCs/>
          <w:sz w:val="26"/>
          <w:szCs w:val="26"/>
        </w:rPr>
        <w:t>importato</w:t>
      </w:r>
      <w:r w:rsidR="00286275" w:rsidRPr="002C7337">
        <w:rPr>
          <w:rFonts w:cstheme="minorHAnsi"/>
          <w:bCs/>
          <w:sz w:val="26"/>
          <w:szCs w:val="26"/>
        </w:rPr>
        <w:t xml:space="preserve"> dall’estero.</w:t>
      </w:r>
    </w:p>
    <w:p w14:paraId="3D888B48" w14:textId="02FDF452" w:rsidR="004A4299" w:rsidRPr="002C7337" w:rsidRDefault="00286275" w:rsidP="00892B1B">
      <w:pPr>
        <w:pStyle w:val="Paragrafoelenco"/>
        <w:numPr>
          <w:ilvl w:val="0"/>
          <w:numId w:val="4"/>
        </w:numPr>
        <w:autoSpaceDE w:val="0"/>
        <w:autoSpaceDN w:val="0"/>
        <w:adjustRightInd w:val="0"/>
        <w:spacing w:after="120" w:line="276" w:lineRule="auto"/>
        <w:rPr>
          <w:rFonts w:cstheme="minorHAnsi"/>
          <w:b/>
          <w:sz w:val="26"/>
          <w:szCs w:val="26"/>
        </w:rPr>
      </w:pPr>
      <w:r w:rsidRPr="002C7337">
        <w:rPr>
          <w:rFonts w:cstheme="minorHAnsi"/>
          <w:bCs/>
          <w:sz w:val="26"/>
          <w:szCs w:val="26"/>
        </w:rPr>
        <w:t>In particolare, le</w:t>
      </w:r>
      <w:r w:rsidRPr="002C7337">
        <w:rPr>
          <w:rFonts w:cstheme="minorHAnsi"/>
          <w:b/>
          <w:sz w:val="26"/>
          <w:szCs w:val="26"/>
        </w:rPr>
        <w:t xml:space="preserve"> i</w:t>
      </w:r>
      <w:r w:rsidR="004A4299" w:rsidRPr="002C7337">
        <w:rPr>
          <w:rFonts w:cstheme="minorHAnsi"/>
          <w:b/>
          <w:sz w:val="26"/>
          <w:szCs w:val="26"/>
        </w:rPr>
        <w:t>mportazioni dalla Russia</w:t>
      </w:r>
      <w:r w:rsidRPr="002C7337">
        <w:rPr>
          <w:rFonts w:cstheme="minorHAnsi"/>
          <w:b/>
          <w:sz w:val="26"/>
          <w:szCs w:val="26"/>
        </w:rPr>
        <w:t xml:space="preserve"> sono</w:t>
      </w:r>
      <w:r w:rsidR="004A4299" w:rsidRPr="002C7337">
        <w:rPr>
          <w:rFonts w:cstheme="minorHAnsi"/>
          <w:b/>
          <w:sz w:val="26"/>
          <w:szCs w:val="26"/>
        </w:rPr>
        <w:t xml:space="preserve"> incrementate</w:t>
      </w:r>
      <w:r w:rsidR="004A4299" w:rsidRPr="002C7337">
        <w:rPr>
          <w:rFonts w:cstheme="minorHAnsi"/>
          <w:bCs/>
          <w:sz w:val="26"/>
          <w:szCs w:val="26"/>
        </w:rPr>
        <w:t xml:space="preserve"> sia in valore assoluto che in percentuale sui consumi, da</w:t>
      </w:r>
      <w:r w:rsidRPr="002C7337">
        <w:rPr>
          <w:rFonts w:cstheme="minorHAnsi"/>
          <w:bCs/>
          <w:sz w:val="26"/>
          <w:szCs w:val="26"/>
        </w:rPr>
        <w:t>i circa</w:t>
      </w:r>
      <w:r w:rsidR="004A4299" w:rsidRPr="002C7337">
        <w:rPr>
          <w:rFonts w:cstheme="minorHAnsi"/>
          <w:bCs/>
          <w:sz w:val="26"/>
          <w:szCs w:val="26"/>
        </w:rPr>
        <w:t xml:space="preserve"> 20 bcm (25%</w:t>
      </w:r>
      <w:r w:rsidRPr="002C7337">
        <w:rPr>
          <w:rFonts w:cstheme="minorHAnsi"/>
          <w:bCs/>
          <w:sz w:val="26"/>
          <w:szCs w:val="26"/>
        </w:rPr>
        <w:t xml:space="preserve"> dei consumi</w:t>
      </w:r>
      <w:r w:rsidR="004A4299" w:rsidRPr="002C7337">
        <w:rPr>
          <w:rFonts w:cstheme="minorHAnsi"/>
          <w:bCs/>
          <w:sz w:val="26"/>
          <w:szCs w:val="26"/>
        </w:rPr>
        <w:t xml:space="preserve">) del 2011 ai 29 bcm </w:t>
      </w:r>
      <w:r w:rsidRPr="002C7337">
        <w:rPr>
          <w:rFonts w:cstheme="minorHAnsi"/>
          <w:bCs/>
          <w:sz w:val="26"/>
          <w:szCs w:val="26"/>
        </w:rPr>
        <w:t xml:space="preserve">del 2021 </w:t>
      </w:r>
      <w:r w:rsidR="004A4299" w:rsidRPr="002C7337">
        <w:rPr>
          <w:rFonts w:cstheme="minorHAnsi"/>
          <w:bCs/>
          <w:sz w:val="26"/>
          <w:szCs w:val="26"/>
        </w:rPr>
        <w:t>(38%</w:t>
      </w:r>
      <w:r w:rsidRPr="002C7337">
        <w:rPr>
          <w:rFonts w:cstheme="minorHAnsi"/>
          <w:bCs/>
          <w:sz w:val="26"/>
          <w:szCs w:val="26"/>
        </w:rPr>
        <w:t xml:space="preserve"> dei consumi</w:t>
      </w:r>
      <w:r w:rsidR="004A4299" w:rsidRPr="002C7337">
        <w:rPr>
          <w:rFonts w:cstheme="minorHAnsi"/>
          <w:bCs/>
          <w:sz w:val="26"/>
          <w:szCs w:val="26"/>
        </w:rPr>
        <w:t>)</w:t>
      </w:r>
      <w:r w:rsidR="004C0ED8" w:rsidRPr="002C7337">
        <w:rPr>
          <w:rFonts w:cstheme="minorHAnsi"/>
          <w:bCs/>
          <w:sz w:val="26"/>
          <w:szCs w:val="26"/>
        </w:rPr>
        <w:t>.</w:t>
      </w:r>
    </w:p>
    <w:p w14:paraId="30F12CEB" w14:textId="2A4C01DD" w:rsidR="00D653AF" w:rsidRPr="002C7337" w:rsidRDefault="00D653AF" w:rsidP="002C7337">
      <w:pPr>
        <w:autoSpaceDE w:val="0"/>
        <w:autoSpaceDN w:val="0"/>
        <w:adjustRightInd w:val="0"/>
        <w:spacing w:after="120" w:line="276" w:lineRule="auto"/>
        <w:rPr>
          <w:rFonts w:cstheme="minorHAnsi"/>
          <w:b/>
          <w:sz w:val="26"/>
          <w:szCs w:val="26"/>
        </w:rPr>
      </w:pPr>
    </w:p>
    <w:p w14:paraId="2DEE6FCF" w14:textId="6DBF3B7A" w:rsidR="002E46F8" w:rsidRPr="002C7337" w:rsidRDefault="00286275" w:rsidP="002C7337">
      <w:pPr>
        <w:autoSpaceDE w:val="0"/>
        <w:autoSpaceDN w:val="0"/>
        <w:adjustRightInd w:val="0"/>
        <w:spacing w:after="120" w:line="276" w:lineRule="auto"/>
        <w:rPr>
          <w:rFonts w:cstheme="minorHAnsi"/>
          <w:sz w:val="26"/>
          <w:szCs w:val="26"/>
        </w:rPr>
      </w:pPr>
      <w:r w:rsidRPr="002C7337">
        <w:rPr>
          <w:rFonts w:cstheme="minorHAnsi"/>
          <w:b/>
          <w:sz w:val="26"/>
          <w:szCs w:val="26"/>
        </w:rPr>
        <w:t>Dal punto di vista delle</w:t>
      </w:r>
      <w:r w:rsidR="007B1CE0" w:rsidRPr="002C7337">
        <w:rPr>
          <w:rFonts w:cstheme="minorHAnsi"/>
          <w:b/>
          <w:sz w:val="26"/>
          <w:szCs w:val="26"/>
        </w:rPr>
        <w:t xml:space="preserve"> infrastrutture di importazione</w:t>
      </w:r>
      <w:r w:rsidRPr="002C7337">
        <w:rPr>
          <w:rFonts w:cstheme="minorHAnsi"/>
          <w:bCs/>
          <w:sz w:val="26"/>
          <w:szCs w:val="26"/>
        </w:rPr>
        <w:t>,</w:t>
      </w:r>
      <w:r w:rsidR="00873F09" w:rsidRPr="002C7337">
        <w:rPr>
          <w:rFonts w:cstheme="minorHAnsi"/>
          <w:bCs/>
          <w:sz w:val="26"/>
          <w:szCs w:val="26"/>
        </w:rPr>
        <w:t xml:space="preserve"> l’Italia</w:t>
      </w:r>
      <w:r w:rsidR="002E46F8" w:rsidRPr="002C7337">
        <w:rPr>
          <w:rFonts w:cstheme="minorHAnsi"/>
          <w:sz w:val="26"/>
          <w:szCs w:val="26"/>
        </w:rPr>
        <w:t xml:space="preserve"> dispone di un </w:t>
      </w:r>
      <w:r w:rsidR="002E46F8" w:rsidRPr="002C7337">
        <w:rPr>
          <w:rFonts w:cstheme="minorHAnsi"/>
          <w:b/>
          <w:sz w:val="26"/>
          <w:szCs w:val="26"/>
        </w:rPr>
        <w:t xml:space="preserve">sistema </w:t>
      </w:r>
      <w:r w:rsidR="002E46F8" w:rsidRPr="002C7337">
        <w:rPr>
          <w:rFonts w:cstheme="minorHAnsi"/>
          <w:sz w:val="26"/>
          <w:szCs w:val="26"/>
        </w:rPr>
        <w:t xml:space="preserve">per l’approvvigionamento e il trasporto </w:t>
      </w:r>
      <w:r w:rsidR="002E46F8" w:rsidRPr="002C7337">
        <w:rPr>
          <w:rFonts w:cstheme="minorHAnsi"/>
          <w:b/>
          <w:bCs/>
          <w:sz w:val="26"/>
          <w:szCs w:val="26"/>
        </w:rPr>
        <w:t>diversificato e abbastanza resiliente</w:t>
      </w:r>
      <w:r w:rsidR="002E46F8" w:rsidRPr="002C7337">
        <w:rPr>
          <w:rFonts w:cstheme="minorHAnsi"/>
          <w:sz w:val="26"/>
          <w:szCs w:val="26"/>
        </w:rPr>
        <w:t xml:space="preserve"> rispetto ad altri Stati membri UE, alimentato prevalentemente con gas prodotto all’estero e importato o trasportato via mare come Gas naturale liquefatto (GNL) e scaricato presso terminali di rigassificazione</w:t>
      </w:r>
      <w:r w:rsidR="00911183">
        <w:rPr>
          <w:rFonts w:cstheme="minorHAnsi"/>
          <w:sz w:val="26"/>
          <w:szCs w:val="26"/>
        </w:rPr>
        <w:t xml:space="preserve"> </w:t>
      </w:r>
      <w:r w:rsidR="00911183" w:rsidRPr="002C7337">
        <w:rPr>
          <w:rFonts w:cstheme="minorHAnsi"/>
          <w:sz w:val="26"/>
          <w:szCs w:val="26"/>
        </w:rPr>
        <w:t>(</w:t>
      </w:r>
      <w:r w:rsidR="00911183" w:rsidRPr="002C7337">
        <w:rPr>
          <w:rFonts w:cstheme="minorHAnsi"/>
          <w:sz w:val="26"/>
          <w:szCs w:val="26"/>
          <w:u w:val="single"/>
        </w:rPr>
        <w:t xml:space="preserve">il totale </w:t>
      </w:r>
      <w:r w:rsidR="00911183" w:rsidRPr="002C7337">
        <w:rPr>
          <w:sz w:val="26"/>
          <w:szCs w:val="26"/>
          <w:u w:val="single"/>
        </w:rPr>
        <w:t>dei flussi di importazione</w:t>
      </w:r>
      <w:r w:rsidR="00911183" w:rsidRPr="002C7337">
        <w:rPr>
          <w:rFonts w:cstheme="minorHAnsi"/>
          <w:sz w:val="26"/>
          <w:szCs w:val="26"/>
          <w:u w:val="single"/>
        </w:rPr>
        <w:t xml:space="preserve"> tramite i terminali di rigassificazione </w:t>
      </w:r>
      <w:r w:rsidR="00911183" w:rsidRPr="002C7337">
        <w:rPr>
          <w:rFonts w:cstheme="minorHAnsi"/>
          <w:sz w:val="26"/>
          <w:szCs w:val="26"/>
          <w:u w:val="single"/>
        </w:rPr>
        <w:lastRenderedPageBreak/>
        <w:t xml:space="preserve">ammonta al </w:t>
      </w:r>
      <w:r w:rsidR="00911183" w:rsidRPr="002C7337">
        <w:rPr>
          <w:sz w:val="26"/>
          <w:szCs w:val="26"/>
          <w:u w:val="single"/>
        </w:rPr>
        <w:t>13%, per 9,8 bcm</w:t>
      </w:r>
      <w:r w:rsidR="00911183" w:rsidRPr="002C7337">
        <w:rPr>
          <w:sz w:val="26"/>
          <w:szCs w:val="26"/>
        </w:rPr>
        <w:t>, a fronte di una capacità massima di questi terminali di 16 bcm/ anno)</w:t>
      </w:r>
      <w:r w:rsidR="002E46F8" w:rsidRPr="002C7337">
        <w:rPr>
          <w:rFonts w:cstheme="minorHAnsi"/>
          <w:sz w:val="26"/>
          <w:szCs w:val="26"/>
        </w:rPr>
        <w:t>.</w:t>
      </w:r>
      <w:r w:rsidR="00CF07A4" w:rsidRPr="002C7337">
        <w:rPr>
          <w:rFonts w:cstheme="minorHAnsi"/>
          <w:sz w:val="26"/>
          <w:szCs w:val="26"/>
        </w:rPr>
        <w:t xml:space="preserve"> </w:t>
      </w:r>
      <w:r w:rsidR="002E46F8" w:rsidRPr="002C7337">
        <w:rPr>
          <w:rFonts w:cstheme="minorHAnsi"/>
          <w:sz w:val="26"/>
          <w:szCs w:val="26"/>
        </w:rPr>
        <w:t>Le infrastrutture di importazione principali sono:</w:t>
      </w:r>
    </w:p>
    <w:p w14:paraId="2F441305" w14:textId="25E5DFAB" w:rsidR="002E46F8" w:rsidRPr="002C7337" w:rsidRDefault="00873F09" w:rsidP="00892B1B">
      <w:pPr>
        <w:pStyle w:val="Paragrafoelenco"/>
        <w:numPr>
          <w:ilvl w:val="0"/>
          <w:numId w:val="4"/>
        </w:numPr>
        <w:autoSpaceDE w:val="0"/>
        <w:autoSpaceDN w:val="0"/>
        <w:adjustRightInd w:val="0"/>
        <w:spacing w:after="120" w:line="276" w:lineRule="auto"/>
        <w:rPr>
          <w:rFonts w:cstheme="minorHAnsi"/>
          <w:sz w:val="26"/>
          <w:szCs w:val="26"/>
          <w:u w:val="single"/>
        </w:rPr>
      </w:pPr>
      <w:r w:rsidRPr="002C7337">
        <w:rPr>
          <w:rFonts w:cstheme="minorHAnsi"/>
          <w:b/>
          <w:sz w:val="26"/>
          <w:szCs w:val="26"/>
        </w:rPr>
        <w:t>Il</w:t>
      </w:r>
      <w:r w:rsidR="002E46F8" w:rsidRPr="002C7337">
        <w:rPr>
          <w:rFonts w:cstheme="minorHAnsi"/>
          <w:sz w:val="26"/>
          <w:szCs w:val="26"/>
        </w:rPr>
        <w:t xml:space="preserve"> gasdotto </w:t>
      </w:r>
      <w:r w:rsidR="002E46F8" w:rsidRPr="002C7337">
        <w:rPr>
          <w:rFonts w:cstheme="minorHAnsi"/>
          <w:b/>
          <w:sz w:val="26"/>
          <w:szCs w:val="26"/>
        </w:rPr>
        <w:t>TAG</w:t>
      </w:r>
      <w:r w:rsidR="002E46F8" w:rsidRPr="002C7337">
        <w:rPr>
          <w:rFonts w:cstheme="minorHAnsi"/>
          <w:sz w:val="26"/>
          <w:szCs w:val="26"/>
        </w:rPr>
        <w:t>, che attraversa l’Austria, per l’importazione di gas proveniente dalla Russia attraverso l’Ucraina, che si connette alla Rete Na</w:t>
      </w:r>
      <w:r w:rsidR="00473099" w:rsidRPr="002C7337">
        <w:rPr>
          <w:rFonts w:cstheme="minorHAnsi"/>
          <w:sz w:val="26"/>
          <w:szCs w:val="26"/>
        </w:rPr>
        <w:t>zionale dei Gasdotti a Tarvisio</w:t>
      </w:r>
      <w:r w:rsidR="00393E78" w:rsidRPr="002C7337">
        <w:rPr>
          <w:rFonts w:cstheme="minorHAnsi"/>
          <w:sz w:val="26"/>
          <w:szCs w:val="26"/>
          <w:u w:val="single"/>
        </w:rPr>
        <w:t xml:space="preserve"> </w:t>
      </w:r>
      <w:r w:rsidR="00393E78" w:rsidRPr="002C7337">
        <w:rPr>
          <w:bCs/>
          <w:sz w:val="26"/>
          <w:szCs w:val="26"/>
          <w:u w:val="single"/>
        </w:rPr>
        <w:t xml:space="preserve">(40% </w:t>
      </w:r>
      <w:bookmarkStart w:id="3" w:name="_Hlk98486757"/>
      <w:r w:rsidR="00393E78" w:rsidRPr="002C7337">
        <w:rPr>
          <w:bCs/>
          <w:sz w:val="26"/>
          <w:szCs w:val="26"/>
          <w:u w:val="single"/>
        </w:rPr>
        <w:t>dei flussi di importazione, per</w:t>
      </w:r>
      <w:bookmarkEnd w:id="3"/>
      <w:r w:rsidR="00393E78" w:rsidRPr="002C7337">
        <w:rPr>
          <w:bCs/>
          <w:sz w:val="26"/>
          <w:szCs w:val="26"/>
          <w:u w:val="single"/>
        </w:rPr>
        <w:t xml:space="preserve"> 29,1 bcm)</w:t>
      </w:r>
      <w:r w:rsidR="00473099" w:rsidRPr="002C7337">
        <w:rPr>
          <w:rFonts w:cstheme="minorHAnsi"/>
          <w:sz w:val="26"/>
          <w:szCs w:val="26"/>
          <w:u w:val="single"/>
        </w:rPr>
        <w:t>.</w:t>
      </w:r>
    </w:p>
    <w:p w14:paraId="38F0B3DC" w14:textId="6764C39B" w:rsidR="00873F09" w:rsidRPr="002C7337" w:rsidRDefault="00873F09" w:rsidP="00892B1B">
      <w:pPr>
        <w:pStyle w:val="Paragrafoelenco"/>
        <w:numPr>
          <w:ilvl w:val="0"/>
          <w:numId w:val="4"/>
        </w:numPr>
        <w:autoSpaceDE w:val="0"/>
        <w:autoSpaceDN w:val="0"/>
        <w:adjustRightInd w:val="0"/>
        <w:spacing w:after="120" w:line="276" w:lineRule="auto"/>
        <w:rPr>
          <w:rFonts w:cstheme="minorHAnsi"/>
          <w:sz w:val="26"/>
          <w:szCs w:val="26"/>
          <w:u w:val="single"/>
        </w:rPr>
      </w:pPr>
      <w:r w:rsidRPr="002C7337">
        <w:rPr>
          <w:rFonts w:cstheme="minorHAnsi"/>
          <w:b/>
          <w:sz w:val="26"/>
          <w:szCs w:val="26"/>
        </w:rPr>
        <w:t xml:space="preserve">Il </w:t>
      </w:r>
      <w:r w:rsidRPr="002C7337">
        <w:rPr>
          <w:rFonts w:cstheme="minorHAnsi"/>
          <w:sz w:val="26"/>
          <w:szCs w:val="26"/>
        </w:rPr>
        <w:t xml:space="preserve">gasdotto </w:t>
      </w:r>
      <w:r w:rsidRPr="002C7337">
        <w:rPr>
          <w:rFonts w:cstheme="minorHAnsi"/>
          <w:b/>
          <w:sz w:val="26"/>
          <w:szCs w:val="26"/>
        </w:rPr>
        <w:t>TRANSITGAS</w:t>
      </w:r>
      <w:r w:rsidRPr="002C7337">
        <w:rPr>
          <w:rFonts w:cstheme="minorHAnsi"/>
          <w:sz w:val="26"/>
          <w:szCs w:val="26"/>
        </w:rPr>
        <w:t xml:space="preserve">, che interconnette la rete di trasporto tedesca e quella francese alla rete italiana attraverso la Svizzera (punto di ingresso di Passo Gries). </w:t>
      </w:r>
      <w:r w:rsidR="00393E78" w:rsidRPr="002C7337">
        <w:rPr>
          <w:rFonts w:cstheme="minorHAnsi"/>
          <w:sz w:val="26"/>
          <w:szCs w:val="26"/>
          <w:u w:val="single"/>
        </w:rPr>
        <w:t>(3% dei flussi di importazione, per 2,2 bcm</w:t>
      </w:r>
      <w:r w:rsidR="006F6204" w:rsidRPr="002C7337">
        <w:rPr>
          <w:rFonts w:cstheme="minorHAnsi"/>
          <w:sz w:val="26"/>
          <w:szCs w:val="26"/>
          <w:u w:val="single"/>
        </w:rPr>
        <w:t>, con</w:t>
      </w:r>
      <w:r w:rsidR="006F6204" w:rsidRPr="002C7337">
        <w:rPr>
          <w:sz w:val="26"/>
          <w:szCs w:val="26"/>
          <w:u w:val="single"/>
        </w:rPr>
        <w:t xml:space="preserve"> una capacità massima riscontrata negli anni passati fino a 12 bcm</w:t>
      </w:r>
      <w:r w:rsidR="006F6204" w:rsidRPr="002C7337">
        <w:rPr>
          <w:sz w:val="26"/>
          <w:szCs w:val="26"/>
        </w:rPr>
        <w:t>. Il limite principale per l’incremento su questa rotta è rappresentato dal fatto che in caso di crisi il gas proveniente dal Nord Europa sarebbe utilizzato prevalentemente dagli stessi Paesi nordici</w:t>
      </w:r>
      <w:r w:rsidR="00393E78" w:rsidRPr="002C7337">
        <w:rPr>
          <w:rFonts w:cstheme="minorHAnsi"/>
          <w:sz w:val="26"/>
          <w:szCs w:val="26"/>
        </w:rPr>
        <w:t>)</w:t>
      </w:r>
      <w:r w:rsidR="006F6204" w:rsidRPr="002C7337">
        <w:rPr>
          <w:rFonts w:cstheme="minorHAnsi"/>
          <w:sz w:val="26"/>
          <w:szCs w:val="26"/>
        </w:rPr>
        <w:t>.</w:t>
      </w:r>
    </w:p>
    <w:p w14:paraId="3C51F586" w14:textId="4DA90FDD" w:rsidR="00873F09" w:rsidRPr="002C7337" w:rsidRDefault="00CF07A4" w:rsidP="00892B1B">
      <w:pPr>
        <w:pStyle w:val="Paragrafoelenco"/>
        <w:numPr>
          <w:ilvl w:val="0"/>
          <w:numId w:val="4"/>
        </w:numPr>
        <w:autoSpaceDE w:val="0"/>
        <w:autoSpaceDN w:val="0"/>
        <w:adjustRightInd w:val="0"/>
        <w:spacing w:after="120" w:line="276" w:lineRule="auto"/>
        <w:rPr>
          <w:rFonts w:cstheme="minorHAnsi"/>
          <w:sz w:val="26"/>
          <w:szCs w:val="26"/>
        </w:rPr>
      </w:pPr>
      <w:r w:rsidRPr="002C7337">
        <w:rPr>
          <w:rFonts w:cstheme="minorHAnsi"/>
          <w:sz w:val="26"/>
          <w:szCs w:val="26"/>
        </w:rPr>
        <w:t>I</w:t>
      </w:r>
      <w:r w:rsidR="002E46F8" w:rsidRPr="002C7337">
        <w:rPr>
          <w:rFonts w:cstheme="minorHAnsi"/>
          <w:sz w:val="26"/>
          <w:szCs w:val="26"/>
        </w:rPr>
        <w:t xml:space="preserve">l gasdotto </w:t>
      </w:r>
      <w:r w:rsidR="002E46F8" w:rsidRPr="002C7337">
        <w:rPr>
          <w:rFonts w:cstheme="minorHAnsi"/>
          <w:b/>
          <w:sz w:val="26"/>
          <w:szCs w:val="26"/>
        </w:rPr>
        <w:t>TMPC</w:t>
      </w:r>
      <w:r w:rsidRPr="002C7337">
        <w:rPr>
          <w:rFonts w:cstheme="minorHAnsi"/>
          <w:b/>
          <w:sz w:val="26"/>
          <w:szCs w:val="26"/>
        </w:rPr>
        <w:t xml:space="preserve"> </w:t>
      </w:r>
      <w:r w:rsidR="002E46F8" w:rsidRPr="002C7337">
        <w:rPr>
          <w:rFonts w:cstheme="minorHAnsi"/>
          <w:sz w:val="26"/>
          <w:szCs w:val="26"/>
        </w:rPr>
        <w:t xml:space="preserve">(TRANSMED), che attraversa il canale di Sicilia da Capo Bon (Tunisia) fino a Mazara del </w:t>
      </w:r>
      <w:r w:rsidR="00473099" w:rsidRPr="002C7337">
        <w:rPr>
          <w:rFonts w:cstheme="minorHAnsi"/>
          <w:sz w:val="26"/>
          <w:szCs w:val="26"/>
        </w:rPr>
        <w:t>Vallo, che importa gas algerino</w:t>
      </w:r>
      <w:r w:rsidR="00393E78" w:rsidRPr="002C7337">
        <w:rPr>
          <w:sz w:val="26"/>
          <w:szCs w:val="26"/>
          <w:u w:val="single"/>
        </w:rPr>
        <w:t xml:space="preserve"> (</w:t>
      </w:r>
      <w:r w:rsidR="00393E78" w:rsidRPr="002C7337">
        <w:rPr>
          <w:rFonts w:cstheme="minorHAnsi"/>
          <w:sz w:val="26"/>
          <w:szCs w:val="26"/>
          <w:u w:val="single"/>
        </w:rPr>
        <w:t xml:space="preserve">29% </w:t>
      </w:r>
      <w:r w:rsidR="00393E78" w:rsidRPr="002C7337">
        <w:rPr>
          <w:rFonts w:cstheme="minorHAnsi"/>
          <w:bCs/>
          <w:sz w:val="26"/>
          <w:szCs w:val="26"/>
          <w:u w:val="single"/>
        </w:rPr>
        <w:t>dei flussi di importazione, per</w:t>
      </w:r>
      <w:r w:rsidR="00393E78" w:rsidRPr="002C7337">
        <w:rPr>
          <w:rFonts w:cstheme="minorHAnsi"/>
          <w:sz w:val="26"/>
          <w:szCs w:val="26"/>
          <w:u w:val="single"/>
        </w:rPr>
        <w:t xml:space="preserve"> 21,2 bcm, con una capacità massima riscontrata negli anni passati fino a 27 bcm)</w:t>
      </w:r>
      <w:r w:rsidR="00393E78" w:rsidRPr="002C7337">
        <w:rPr>
          <w:rFonts w:cstheme="minorHAnsi"/>
          <w:sz w:val="26"/>
          <w:szCs w:val="26"/>
        </w:rPr>
        <w:t>.</w:t>
      </w:r>
    </w:p>
    <w:p w14:paraId="49AC4B0A" w14:textId="1E2B44C7" w:rsidR="00873F09" w:rsidRPr="002C7337" w:rsidRDefault="00873F09" w:rsidP="00892B1B">
      <w:pPr>
        <w:pStyle w:val="Paragrafoelenco"/>
        <w:numPr>
          <w:ilvl w:val="0"/>
          <w:numId w:val="4"/>
        </w:numPr>
        <w:autoSpaceDE w:val="0"/>
        <w:autoSpaceDN w:val="0"/>
        <w:adjustRightInd w:val="0"/>
        <w:spacing w:after="120" w:line="276" w:lineRule="auto"/>
        <w:rPr>
          <w:rFonts w:cstheme="minorHAnsi"/>
          <w:sz w:val="26"/>
          <w:szCs w:val="26"/>
          <w:u w:val="single"/>
        </w:rPr>
      </w:pPr>
      <w:r w:rsidRPr="002C7337">
        <w:rPr>
          <w:rFonts w:cstheme="minorHAnsi"/>
          <w:sz w:val="26"/>
          <w:szCs w:val="26"/>
        </w:rPr>
        <w:t xml:space="preserve">Il gasdotto </w:t>
      </w:r>
      <w:r w:rsidRPr="002C7337">
        <w:rPr>
          <w:rFonts w:cstheme="minorHAnsi"/>
          <w:b/>
          <w:sz w:val="26"/>
          <w:szCs w:val="26"/>
        </w:rPr>
        <w:t>GREENSTREAM</w:t>
      </w:r>
      <w:r w:rsidRPr="002C7337">
        <w:rPr>
          <w:rFonts w:cstheme="minorHAnsi"/>
          <w:sz w:val="26"/>
          <w:szCs w:val="26"/>
        </w:rPr>
        <w:t>, che si connette con la Rete Nazionale dei Gasdotti a Gela, che importa nel nostro paese il gas prodotto in Libia</w:t>
      </w:r>
      <w:r w:rsidR="00393E78" w:rsidRPr="002C7337">
        <w:rPr>
          <w:rFonts w:cstheme="minorHAnsi"/>
          <w:sz w:val="26"/>
          <w:szCs w:val="26"/>
        </w:rPr>
        <w:t xml:space="preserve"> </w:t>
      </w:r>
      <w:r w:rsidR="00393E78" w:rsidRPr="002C7337">
        <w:rPr>
          <w:rFonts w:cstheme="minorHAnsi"/>
          <w:sz w:val="26"/>
          <w:szCs w:val="26"/>
          <w:u w:val="single"/>
        </w:rPr>
        <w:t>(4% dei flussi di importazione, per 3,2 bcm</w:t>
      </w:r>
      <w:r w:rsidR="006F6204" w:rsidRPr="002C7337">
        <w:rPr>
          <w:rFonts w:cstheme="minorHAnsi"/>
          <w:sz w:val="26"/>
          <w:szCs w:val="26"/>
          <w:u w:val="single"/>
        </w:rPr>
        <w:t>,</w:t>
      </w:r>
      <w:r w:rsidR="006F6204" w:rsidRPr="002C7337">
        <w:rPr>
          <w:sz w:val="26"/>
          <w:szCs w:val="26"/>
        </w:rPr>
        <w:t xml:space="preserve"> </w:t>
      </w:r>
      <w:r w:rsidR="006F6204" w:rsidRPr="002C7337">
        <w:rPr>
          <w:sz w:val="26"/>
          <w:szCs w:val="26"/>
          <w:u w:val="single"/>
        </w:rPr>
        <w:t>con una capacità attualmente massimizzata</w:t>
      </w:r>
      <w:r w:rsidR="00393E78" w:rsidRPr="002C7337">
        <w:rPr>
          <w:rFonts w:cstheme="minorHAnsi"/>
          <w:sz w:val="26"/>
          <w:szCs w:val="26"/>
          <w:u w:val="single"/>
        </w:rPr>
        <w:t>).</w:t>
      </w:r>
    </w:p>
    <w:p w14:paraId="6D4D9277" w14:textId="1FB0F0B2" w:rsidR="00873F09" w:rsidRPr="002C7337" w:rsidRDefault="00873F09" w:rsidP="00892B1B">
      <w:pPr>
        <w:pStyle w:val="Paragrafoelenco"/>
        <w:numPr>
          <w:ilvl w:val="0"/>
          <w:numId w:val="4"/>
        </w:numPr>
        <w:autoSpaceDE w:val="0"/>
        <w:autoSpaceDN w:val="0"/>
        <w:adjustRightInd w:val="0"/>
        <w:spacing w:after="120" w:line="276" w:lineRule="auto"/>
        <w:rPr>
          <w:rFonts w:cstheme="minorHAnsi"/>
          <w:sz w:val="26"/>
          <w:szCs w:val="26"/>
        </w:rPr>
      </w:pPr>
      <w:r w:rsidRPr="002C7337">
        <w:rPr>
          <w:rFonts w:cstheme="minorHAnsi"/>
          <w:sz w:val="26"/>
          <w:szCs w:val="26"/>
        </w:rPr>
        <w:t xml:space="preserve">Il gasdotto </w:t>
      </w:r>
      <w:r w:rsidRPr="002C7337">
        <w:rPr>
          <w:rFonts w:cstheme="minorHAnsi"/>
          <w:b/>
          <w:sz w:val="26"/>
          <w:szCs w:val="26"/>
        </w:rPr>
        <w:t>TAP</w:t>
      </w:r>
      <w:r w:rsidRPr="002C7337">
        <w:rPr>
          <w:rFonts w:cstheme="minorHAnsi"/>
          <w:sz w:val="26"/>
          <w:szCs w:val="26"/>
        </w:rPr>
        <w:t xml:space="preserve">, di interconnessione tra Grecia e Italia via Albania, che si connette alla Rete Nazionale dei Gasdotti a Melendugno in Puglia, che trasporta tramite la Turchia il gas proveniente dall’Azerbaijan. </w:t>
      </w:r>
      <w:r w:rsidR="00772D06">
        <w:rPr>
          <w:rFonts w:cstheme="minorHAnsi"/>
          <w:sz w:val="26"/>
          <w:szCs w:val="26"/>
        </w:rPr>
        <w:t xml:space="preserve">TAP ha </w:t>
      </w:r>
      <w:r w:rsidR="003700A3" w:rsidRPr="002C7337">
        <w:rPr>
          <w:rFonts w:cstheme="minorHAnsi"/>
          <w:sz w:val="26"/>
          <w:szCs w:val="26"/>
        </w:rPr>
        <w:t xml:space="preserve">una capacità massima </w:t>
      </w:r>
      <w:r w:rsidRPr="002C7337">
        <w:rPr>
          <w:rFonts w:cstheme="minorHAnsi"/>
          <w:sz w:val="26"/>
          <w:szCs w:val="26"/>
        </w:rPr>
        <w:t>di</w:t>
      </w:r>
      <w:r w:rsidR="00772D06">
        <w:rPr>
          <w:rFonts w:cstheme="minorHAnsi"/>
          <w:sz w:val="26"/>
          <w:szCs w:val="26"/>
        </w:rPr>
        <w:t xml:space="preserve"> circa 8,5 bcm/anno, ma oggi trasporta il </w:t>
      </w:r>
      <w:r w:rsidR="00393E78" w:rsidRPr="002C7337">
        <w:rPr>
          <w:rFonts w:cstheme="minorHAnsi"/>
          <w:sz w:val="26"/>
          <w:szCs w:val="26"/>
          <w:u w:val="single"/>
        </w:rPr>
        <w:t>10% dei flus</w:t>
      </w:r>
      <w:r w:rsidR="00772D06">
        <w:rPr>
          <w:rFonts w:cstheme="minorHAnsi"/>
          <w:sz w:val="26"/>
          <w:szCs w:val="26"/>
          <w:u w:val="single"/>
        </w:rPr>
        <w:t>si di importazione, per 7,2 bcm</w:t>
      </w:r>
      <w:r w:rsidRPr="002C7337">
        <w:rPr>
          <w:rFonts w:cstheme="minorHAnsi"/>
          <w:sz w:val="26"/>
          <w:szCs w:val="26"/>
          <w:u w:val="single"/>
        </w:rPr>
        <w:t>.</w:t>
      </w:r>
    </w:p>
    <w:p w14:paraId="19711FFF" w14:textId="48295EFB" w:rsidR="00873F09" w:rsidRPr="00911183" w:rsidRDefault="00873F09" w:rsidP="00892B1B">
      <w:pPr>
        <w:pStyle w:val="Paragrafoelenco"/>
        <w:numPr>
          <w:ilvl w:val="0"/>
          <w:numId w:val="4"/>
        </w:numPr>
        <w:autoSpaceDE w:val="0"/>
        <w:autoSpaceDN w:val="0"/>
        <w:adjustRightInd w:val="0"/>
        <w:spacing w:after="120" w:line="276" w:lineRule="auto"/>
        <w:rPr>
          <w:rFonts w:cstheme="minorHAnsi"/>
          <w:sz w:val="26"/>
          <w:szCs w:val="26"/>
        </w:rPr>
      </w:pPr>
      <w:r w:rsidRPr="00911183">
        <w:rPr>
          <w:rFonts w:cstheme="minorHAnsi"/>
          <w:sz w:val="26"/>
          <w:szCs w:val="26"/>
        </w:rPr>
        <w:t xml:space="preserve">Il terminale di </w:t>
      </w:r>
      <w:r w:rsidRPr="00911183">
        <w:rPr>
          <w:rFonts w:cstheme="minorHAnsi"/>
          <w:b/>
          <w:sz w:val="26"/>
          <w:szCs w:val="26"/>
        </w:rPr>
        <w:t>rigassificazione di Panigaglia</w:t>
      </w:r>
      <w:r w:rsidR="00911183" w:rsidRPr="00911183">
        <w:rPr>
          <w:rFonts w:cstheme="minorHAnsi"/>
          <w:sz w:val="26"/>
          <w:szCs w:val="26"/>
        </w:rPr>
        <w:t>, i</w:t>
      </w:r>
      <w:r w:rsidRPr="00911183">
        <w:rPr>
          <w:rFonts w:cstheme="minorHAnsi"/>
          <w:sz w:val="26"/>
          <w:szCs w:val="26"/>
        </w:rPr>
        <w:t xml:space="preserve">l terminale di </w:t>
      </w:r>
      <w:r w:rsidRPr="00911183">
        <w:rPr>
          <w:rFonts w:cstheme="minorHAnsi"/>
          <w:b/>
          <w:sz w:val="26"/>
          <w:szCs w:val="26"/>
        </w:rPr>
        <w:t>rigassificazione offshore</w:t>
      </w:r>
      <w:r w:rsidRPr="00911183">
        <w:rPr>
          <w:rFonts w:cstheme="minorHAnsi"/>
          <w:sz w:val="26"/>
          <w:szCs w:val="26"/>
        </w:rPr>
        <w:t xml:space="preserve"> </w:t>
      </w:r>
      <w:r w:rsidR="007263BB" w:rsidRPr="00911183">
        <w:rPr>
          <w:rFonts w:cstheme="minorHAnsi"/>
          <w:sz w:val="26"/>
          <w:szCs w:val="26"/>
        </w:rPr>
        <w:t>Adriatic LNG</w:t>
      </w:r>
      <w:r w:rsidR="00911183" w:rsidRPr="00911183">
        <w:rPr>
          <w:rFonts w:cstheme="minorHAnsi"/>
          <w:sz w:val="26"/>
          <w:szCs w:val="26"/>
        </w:rPr>
        <w:t>,</w:t>
      </w:r>
      <w:r w:rsidR="007263BB" w:rsidRPr="00911183">
        <w:rPr>
          <w:rFonts w:cstheme="minorHAnsi"/>
          <w:sz w:val="26"/>
          <w:szCs w:val="26"/>
        </w:rPr>
        <w:t xml:space="preserve"> </w:t>
      </w:r>
      <w:r w:rsidRPr="00911183">
        <w:rPr>
          <w:rFonts w:cstheme="minorHAnsi"/>
          <w:sz w:val="26"/>
          <w:szCs w:val="26"/>
        </w:rPr>
        <w:t>installato al largo di Rovigo</w:t>
      </w:r>
      <w:r w:rsidR="00911183" w:rsidRPr="00911183">
        <w:rPr>
          <w:rFonts w:cstheme="minorHAnsi"/>
          <w:sz w:val="26"/>
          <w:szCs w:val="26"/>
        </w:rPr>
        <w:t>, e i</w:t>
      </w:r>
      <w:r w:rsidRPr="00911183">
        <w:rPr>
          <w:rFonts w:cstheme="minorHAnsi"/>
          <w:sz w:val="26"/>
          <w:szCs w:val="26"/>
        </w:rPr>
        <w:t xml:space="preserve">l </w:t>
      </w:r>
      <w:r w:rsidRPr="00911183">
        <w:rPr>
          <w:rFonts w:cstheme="minorHAnsi"/>
          <w:b/>
          <w:sz w:val="26"/>
          <w:szCs w:val="26"/>
        </w:rPr>
        <w:t>terminale galleggiante</w:t>
      </w:r>
      <w:r w:rsidRPr="00911183">
        <w:rPr>
          <w:rFonts w:cstheme="minorHAnsi"/>
          <w:sz w:val="26"/>
          <w:szCs w:val="26"/>
        </w:rPr>
        <w:t xml:space="preserve"> di rigassificazione OLT</w:t>
      </w:r>
      <w:r w:rsidR="00911183" w:rsidRPr="00911183">
        <w:rPr>
          <w:rFonts w:cstheme="minorHAnsi"/>
          <w:sz w:val="26"/>
          <w:szCs w:val="26"/>
        </w:rPr>
        <w:t>,</w:t>
      </w:r>
      <w:r w:rsidRPr="00911183">
        <w:rPr>
          <w:rFonts w:cstheme="minorHAnsi"/>
          <w:sz w:val="26"/>
          <w:szCs w:val="26"/>
        </w:rPr>
        <w:t xml:space="preserve"> ubicato al largo di Livorno</w:t>
      </w:r>
      <w:r w:rsidR="00911183">
        <w:rPr>
          <w:rFonts w:cstheme="minorHAnsi"/>
          <w:sz w:val="26"/>
          <w:szCs w:val="26"/>
        </w:rPr>
        <w:t>.</w:t>
      </w:r>
    </w:p>
    <w:p w14:paraId="773F758B" w14:textId="49200059" w:rsidR="00E5393B" w:rsidRPr="002C7337" w:rsidRDefault="00CF07A4" w:rsidP="00892B1B">
      <w:pPr>
        <w:pStyle w:val="Default"/>
        <w:numPr>
          <w:ilvl w:val="0"/>
          <w:numId w:val="4"/>
        </w:numPr>
        <w:spacing w:after="120" w:line="276" w:lineRule="auto"/>
        <w:rPr>
          <w:rFonts w:asciiTheme="minorHAnsi" w:hAnsiTheme="minorHAnsi" w:cstheme="minorHAnsi"/>
          <w:color w:val="auto"/>
          <w:sz w:val="26"/>
          <w:szCs w:val="26"/>
        </w:rPr>
      </w:pPr>
      <w:r w:rsidRPr="002C7337">
        <w:rPr>
          <w:rFonts w:cstheme="minorHAnsi"/>
          <w:sz w:val="26"/>
          <w:szCs w:val="26"/>
        </w:rPr>
        <w:t>Del sistema</w:t>
      </w:r>
      <w:r w:rsidR="002E46F8" w:rsidRPr="002C7337">
        <w:rPr>
          <w:rFonts w:cstheme="minorHAnsi"/>
          <w:sz w:val="26"/>
          <w:szCs w:val="26"/>
        </w:rPr>
        <w:t xml:space="preserve"> </w:t>
      </w:r>
      <w:r w:rsidR="00025AEE" w:rsidRPr="002C7337">
        <w:rPr>
          <w:rFonts w:cstheme="minorHAnsi"/>
          <w:sz w:val="26"/>
          <w:szCs w:val="26"/>
        </w:rPr>
        <w:t>sono</w:t>
      </w:r>
      <w:r w:rsidR="002E46F8" w:rsidRPr="002C7337">
        <w:rPr>
          <w:rFonts w:cstheme="minorHAnsi"/>
          <w:sz w:val="26"/>
          <w:szCs w:val="26"/>
        </w:rPr>
        <w:t xml:space="preserve"> parte</w:t>
      </w:r>
      <w:r w:rsidR="00025AEE" w:rsidRPr="002C7337">
        <w:rPr>
          <w:rFonts w:cstheme="minorHAnsi"/>
          <w:sz w:val="26"/>
          <w:szCs w:val="26"/>
        </w:rPr>
        <w:t xml:space="preserve"> qualificante</w:t>
      </w:r>
      <w:r w:rsidR="002E46F8" w:rsidRPr="002C7337">
        <w:rPr>
          <w:rFonts w:cstheme="minorHAnsi"/>
          <w:sz w:val="26"/>
          <w:szCs w:val="26"/>
        </w:rPr>
        <w:t xml:space="preserve"> anche i </w:t>
      </w:r>
      <w:r w:rsidR="002E46F8" w:rsidRPr="002C7337">
        <w:rPr>
          <w:rFonts w:cstheme="minorHAnsi"/>
          <w:b/>
          <w:sz w:val="26"/>
          <w:szCs w:val="26"/>
        </w:rPr>
        <w:t>giacimenti di stoccaggio</w:t>
      </w:r>
      <w:r w:rsidR="002E46F8" w:rsidRPr="002C7337">
        <w:rPr>
          <w:rFonts w:cstheme="minorHAnsi"/>
          <w:sz w:val="26"/>
          <w:szCs w:val="26"/>
        </w:rPr>
        <w:t xml:space="preserve"> di gas naturale, per assicurare il bilanciamento tra i consumi invernali ed estivi, per circa 18 miliardi di metri </w:t>
      </w:r>
      <w:r w:rsidR="00025AEE" w:rsidRPr="002C7337">
        <w:rPr>
          <w:rFonts w:cstheme="minorHAnsi"/>
          <w:sz w:val="26"/>
          <w:szCs w:val="26"/>
        </w:rPr>
        <w:t>cubi</w:t>
      </w:r>
      <w:r w:rsidR="007263BB" w:rsidRPr="002C7337">
        <w:rPr>
          <w:rFonts w:cstheme="minorHAnsi"/>
          <w:sz w:val="26"/>
          <w:szCs w:val="26"/>
        </w:rPr>
        <w:t xml:space="preserve">; di questi, </w:t>
      </w:r>
      <w:r w:rsidR="00025AEE" w:rsidRPr="002C7337">
        <w:rPr>
          <w:rFonts w:cstheme="minorHAnsi"/>
          <w:sz w:val="26"/>
          <w:szCs w:val="26"/>
        </w:rPr>
        <w:t>una parte</w:t>
      </w:r>
      <w:r w:rsidR="007263BB" w:rsidRPr="002C7337">
        <w:rPr>
          <w:rFonts w:cstheme="minorHAnsi"/>
          <w:sz w:val="26"/>
          <w:szCs w:val="26"/>
        </w:rPr>
        <w:t xml:space="preserve"> è</w:t>
      </w:r>
      <w:r w:rsidR="00025AEE" w:rsidRPr="002C7337">
        <w:rPr>
          <w:rFonts w:cstheme="minorHAnsi"/>
          <w:sz w:val="26"/>
          <w:szCs w:val="26"/>
        </w:rPr>
        <w:t xml:space="preserve"> destinata</w:t>
      </w:r>
      <w:r w:rsidR="002E46F8" w:rsidRPr="002C7337">
        <w:rPr>
          <w:rFonts w:cstheme="minorHAnsi"/>
          <w:sz w:val="26"/>
          <w:szCs w:val="26"/>
        </w:rPr>
        <w:t xml:space="preserve"> allo stoccaggio strategico, </w:t>
      </w:r>
      <w:r w:rsidR="007263BB" w:rsidRPr="002C7337">
        <w:rPr>
          <w:rFonts w:cstheme="minorHAnsi"/>
          <w:sz w:val="26"/>
          <w:szCs w:val="26"/>
        </w:rPr>
        <w:t xml:space="preserve">utilizzabile </w:t>
      </w:r>
      <w:r w:rsidR="002E46F8" w:rsidRPr="002C7337">
        <w:rPr>
          <w:rFonts w:cstheme="minorHAnsi"/>
          <w:sz w:val="26"/>
          <w:szCs w:val="26"/>
        </w:rPr>
        <w:t>solo in caso di emergenza prolungata</w:t>
      </w:r>
      <w:r w:rsidR="007263BB" w:rsidRPr="002C7337">
        <w:rPr>
          <w:rFonts w:asciiTheme="minorHAnsi" w:hAnsiTheme="minorHAnsi" w:cstheme="minorHAnsi"/>
          <w:color w:val="auto"/>
          <w:sz w:val="26"/>
          <w:szCs w:val="26"/>
        </w:rPr>
        <w:t xml:space="preserve"> a tutela residuale del settore civile</w:t>
      </w:r>
      <w:r w:rsidR="005566F0" w:rsidRPr="002C7337">
        <w:rPr>
          <w:rFonts w:cstheme="minorHAnsi"/>
          <w:sz w:val="26"/>
          <w:szCs w:val="26"/>
        </w:rPr>
        <w:t>,</w:t>
      </w:r>
      <w:r w:rsidR="002E46F8" w:rsidRPr="002C7337">
        <w:rPr>
          <w:rFonts w:cstheme="minorHAnsi"/>
          <w:sz w:val="26"/>
          <w:szCs w:val="26"/>
        </w:rPr>
        <w:t xml:space="preserve"> e circa 12</w:t>
      </w:r>
      <w:r w:rsidR="00025AEE" w:rsidRPr="002C7337">
        <w:rPr>
          <w:rFonts w:cstheme="minorHAnsi"/>
          <w:sz w:val="26"/>
          <w:szCs w:val="26"/>
        </w:rPr>
        <w:t xml:space="preserve"> miliardi di metri cubi</w:t>
      </w:r>
      <w:r w:rsidR="002E46F8" w:rsidRPr="002C7337">
        <w:rPr>
          <w:rFonts w:cstheme="minorHAnsi"/>
          <w:sz w:val="26"/>
          <w:szCs w:val="26"/>
        </w:rPr>
        <w:t xml:space="preserve"> </w:t>
      </w:r>
      <w:r w:rsidR="007263BB" w:rsidRPr="002C7337">
        <w:rPr>
          <w:rFonts w:cstheme="minorHAnsi"/>
          <w:sz w:val="26"/>
          <w:szCs w:val="26"/>
        </w:rPr>
        <w:t xml:space="preserve">sono </w:t>
      </w:r>
      <w:r w:rsidR="002E46F8" w:rsidRPr="002C7337">
        <w:rPr>
          <w:rFonts w:cstheme="minorHAnsi"/>
          <w:sz w:val="26"/>
          <w:szCs w:val="26"/>
        </w:rPr>
        <w:t xml:space="preserve">destinati allo stoccaggio “commerciale” di gas di proprietà dei </w:t>
      </w:r>
      <w:r w:rsidR="002E46F8" w:rsidRPr="002C7337">
        <w:rPr>
          <w:rFonts w:cstheme="minorHAnsi"/>
          <w:i/>
          <w:sz w:val="26"/>
          <w:szCs w:val="26"/>
        </w:rPr>
        <w:t>traders</w:t>
      </w:r>
      <w:r w:rsidR="002E46F8" w:rsidRPr="002C7337">
        <w:rPr>
          <w:rFonts w:cstheme="minorHAnsi"/>
          <w:sz w:val="26"/>
          <w:szCs w:val="26"/>
        </w:rPr>
        <w:t>.</w:t>
      </w:r>
      <w:r w:rsidR="00257C90" w:rsidRPr="002C7337">
        <w:rPr>
          <w:rFonts w:cstheme="minorHAnsi"/>
          <w:sz w:val="26"/>
          <w:szCs w:val="26"/>
        </w:rPr>
        <w:t xml:space="preserve"> </w:t>
      </w:r>
    </w:p>
    <w:p w14:paraId="3E1CC33E" w14:textId="77777777" w:rsidR="003D5120" w:rsidRPr="002C7337" w:rsidRDefault="003D5120" w:rsidP="00911183">
      <w:pPr>
        <w:pStyle w:val="Default"/>
        <w:spacing w:after="120" w:line="276" w:lineRule="auto"/>
        <w:ind w:left="720"/>
        <w:rPr>
          <w:rFonts w:asciiTheme="minorHAnsi" w:hAnsiTheme="minorHAnsi" w:cstheme="minorHAnsi"/>
          <w:color w:val="auto"/>
          <w:sz w:val="26"/>
          <w:szCs w:val="26"/>
        </w:rPr>
      </w:pPr>
    </w:p>
    <w:p w14:paraId="2B81940E" w14:textId="4DF018A7" w:rsidR="00C53401" w:rsidRPr="002C7337" w:rsidRDefault="00564EEF" w:rsidP="002C7337">
      <w:pPr>
        <w:autoSpaceDE w:val="0"/>
        <w:autoSpaceDN w:val="0"/>
        <w:adjustRightInd w:val="0"/>
        <w:spacing w:after="120" w:line="276" w:lineRule="auto"/>
        <w:ind w:left="360"/>
        <w:rPr>
          <w:sz w:val="26"/>
          <w:szCs w:val="26"/>
        </w:rPr>
      </w:pPr>
      <w:r w:rsidRPr="002C7337">
        <w:rPr>
          <w:rFonts w:cstheme="minorHAnsi"/>
          <w:b/>
          <w:sz w:val="26"/>
          <w:szCs w:val="26"/>
        </w:rPr>
        <w:t xml:space="preserve">Gli scenari di </w:t>
      </w:r>
      <w:r w:rsidR="008C0371" w:rsidRPr="002C7337">
        <w:rPr>
          <w:rFonts w:cstheme="minorHAnsi"/>
          <w:b/>
          <w:sz w:val="26"/>
          <w:szCs w:val="26"/>
        </w:rPr>
        <w:t>possibile interruzione d</w:t>
      </w:r>
      <w:r w:rsidRPr="002C7337">
        <w:rPr>
          <w:rFonts w:cstheme="minorHAnsi"/>
          <w:b/>
          <w:sz w:val="26"/>
          <w:szCs w:val="26"/>
        </w:rPr>
        <w:t>elle</w:t>
      </w:r>
      <w:r w:rsidR="008C0371" w:rsidRPr="002C7337">
        <w:rPr>
          <w:rFonts w:cstheme="minorHAnsi"/>
          <w:b/>
          <w:sz w:val="26"/>
          <w:szCs w:val="26"/>
        </w:rPr>
        <w:t xml:space="preserve"> forniture di gas dalla Russia</w:t>
      </w:r>
      <w:r w:rsidR="008C0371" w:rsidRPr="002C7337">
        <w:rPr>
          <w:rFonts w:cstheme="minorHAnsi"/>
          <w:bCs/>
          <w:sz w:val="26"/>
          <w:szCs w:val="26"/>
        </w:rPr>
        <w:t xml:space="preserve"> </w:t>
      </w:r>
      <w:r w:rsidRPr="002C7337">
        <w:rPr>
          <w:rFonts w:cstheme="minorHAnsi"/>
          <w:bCs/>
          <w:sz w:val="26"/>
          <w:szCs w:val="26"/>
        </w:rPr>
        <w:t>pongono</w:t>
      </w:r>
      <w:r w:rsidR="00C53401" w:rsidRPr="002C7337">
        <w:rPr>
          <w:sz w:val="26"/>
          <w:szCs w:val="26"/>
        </w:rPr>
        <w:t xml:space="preserve"> problemi diversi – e quindi </w:t>
      </w:r>
      <w:r w:rsidRPr="002C7337">
        <w:rPr>
          <w:sz w:val="26"/>
          <w:szCs w:val="26"/>
        </w:rPr>
        <w:t xml:space="preserve">diversi </w:t>
      </w:r>
      <w:r w:rsidR="00C53401" w:rsidRPr="002C7337">
        <w:rPr>
          <w:sz w:val="26"/>
          <w:szCs w:val="26"/>
        </w:rPr>
        <w:t xml:space="preserve">possibili </w:t>
      </w:r>
      <w:r w:rsidR="00603B59" w:rsidRPr="002C7337">
        <w:rPr>
          <w:sz w:val="26"/>
          <w:szCs w:val="26"/>
        </w:rPr>
        <w:t>rimedi</w:t>
      </w:r>
      <w:r w:rsidR="00C53401" w:rsidRPr="002C7337">
        <w:rPr>
          <w:sz w:val="26"/>
          <w:szCs w:val="26"/>
        </w:rPr>
        <w:t xml:space="preserve"> – </w:t>
      </w:r>
      <w:r w:rsidR="00C53401" w:rsidRPr="002C7337">
        <w:rPr>
          <w:b/>
          <w:bCs/>
          <w:sz w:val="26"/>
          <w:szCs w:val="26"/>
        </w:rPr>
        <w:t>in funzione della durata</w:t>
      </w:r>
      <w:r w:rsidR="00C53401" w:rsidRPr="002C7337">
        <w:rPr>
          <w:sz w:val="26"/>
          <w:szCs w:val="26"/>
        </w:rPr>
        <w:t xml:space="preserve"> dell’</w:t>
      </w:r>
      <w:r w:rsidRPr="002C7337">
        <w:rPr>
          <w:sz w:val="26"/>
          <w:szCs w:val="26"/>
        </w:rPr>
        <w:t xml:space="preserve">eventuale </w:t>
      </w:r>
      <w:r w:rsidR="00C53401" w:rsidRPr="002C7337">
        <w:rPr>
          <w:sz w:val="26"/>
          <w:szCs w:val="26"/>
        </w:rPr>
        <w:t>interruzione</w:t>
      </w:r>
      <w:r w:rsidR="00A278DD" w:rsidRPr="002C7337">
        <w:rPr>
          <w:sz w:val="26"/>
          <w:szCs w:val="26"/>
        </w:rPr>
        <w:t>.</w:t>
      </w:r>
    </w:p>
    <w:p w14:paraId="611AC58F" w14:textId="3900D642" w:rsidR="008232AC" w:rsidRPr="002C7337" w:rsidRDefault="008232AC" w:rsidP="00892B1B">
      <w:pPr>
        <w:pStyle w:val="Default"/>
        <w:numPr>
          <w:ilvl w:val="0"/>
          <w:numId w:val="1"/>
        </w:numPr>
        <w:spacing w:after="120"/>
        <w:rPr>
          <w:sz w:val="26"/>
          <w:szCs w:val="26"/>
        </w:rPr>
      </w:pPr>
      <w:r w:rsidRPr="002C7337">
        <w:rPr>
          <w:sz w:val="26"/>
          <w:szCs w:val="26"/>
        </w:rPr>
        <w:t xml:space="preserve">Nel </w:t>
      </w:r>
      <w:r w:rsidRPr="002C7337">
        <w:rPr>
          <w:b/>
          <w:bCs/>
          <w:sz w:val="26"/>
          <w:szCs w:val="26"/>
        </w:rPr>
        <w:t>breve termine</w:t>
      </w:r>
      <w:r w:rsidRPr="002C7337">
        <w:rPr>
          <w:sz w:val="26"/>
          <w:szCs w:val="26"/>
        </w:rPr>
        <w:t xml:space="preserve">, grazie all’atteso miglioramento delle condizioni climatiche, si stima una </w:t>
      </w:r>
      <w:r w:rsidRPr="002C7337">
        <w:rPr>
          <w:b/>
          <w:bCs/>
          <w:sz w:val="26"/>
          <w:szCs w:val="26"/>
        </w:rPr>
        <w:t xml:space="preserve">riduzione della domanda per uso civile </w:t>
      </w:r>
      <w:r w:rsidRPr="002C7337">
        <w:rPr>
          <w:sz w:val="26"/>
          <w:szCs w:val="26"/>
        </w:rPr>
        <w:t xml:space="preserve">pari a </w:t>
      </w:r>
      <w:r w:rsidR="00100004" w:rsidRPr="002C7337">
        <w:rPr>
          <w:sz w:val="26"/>
          <w:szCs w:val="26"/>
        </w:rPr>
        <w:t xml:space="preserve">circa </w:t>
      </w:r>
      <w:r w:rsidRPr="002C7337">
        <w:rPr>
          <w:sz w:val="26"/>
          <w:szCs w:val="26"/>
        </w:rPr>
        <w:t xml:space="preserve">40 </w:t>
      </w:r>
      <w:r w:rsidR="0026268E" w:rsidRPr="002C7337">
        <w:rPr>
          <w:sz w:val="26"/>
          <w:szCs w:val="26"/>
        </w:rPr>
        <w:t>M</w:t>
      </w:r>
      <w:r w:rsidRPr="002C7337">
        <w:rPr>
          <w:sz w:val="26"/>
          <w:szCs w:val="26"/>
        </w:rPr>
        <w:t>mc</w:t>
      </w:r>
      <w:r w:rsidR="00100004" w:rsidRPr="002C7337">
        <w:rPr>
          <w:sz w:val="26"/>
          <w:szCs w:val="26"/>
        </w:rPr>
        <w:t xml:space="preserve">/ giorno </w:t>
      </w:r>
      <w:r w:rsidR="00E85326" w:rsidRPr="002C7337">
        <w:rPr>
          <w:sz w:val="26"/>
          <w:szCs w:val="26"/>
        </w:rPr>
        <w:t xml:space="preserve">già </w:t>
      </w:r>
      <w:r w:rsidR="00100004" w:rsidRPr="002C7337">
        <w:rPr>
          <w:sz w:val="26"/>
          <w:szCs w:val="26"/>
        </w:rPr>
        <w:t xml:space="preserve">a </w:t>
      </w:r>
      <w:r w:rsidR="00100004" w:rsidRPr="002C7337">
        <w:rPr>
          <w:sz w:val="26"/>
          <w:szCs w:val="26"/>
        </w:rPr>
        <w:lastRenderedPageBreak/>
        <w:t>fine</w:t>
      </w:r>
      <w:r w:rsidR="00314C73" w:rsidRPr="002C7337">
        <w:rPr>
          <w:sz w:val="26"/>
          <w:szCs w:val="26"/>
        </w:rPr>
        <w:t xml:space="preserve"> marzo</w:t>
      </w:r>
      <w:r w:rsidRPr="002C7337">
        <w:rPr>
          <w:sz w:val="26"/>
          <w:szCs w:val="26"/>
        </w:rPr>
        <w:t xml:space="preserve">, in condizioni </w:t>
      </w:r>
      <w:r w:rsidR="00100004" w:rsidRPr="002C7337">
        <w:rPr>
          <w:sz w:val="26"/>
          <w:szCs w:val="26"/>
        </w:rPr>
        <w:t xml:space="preserve">di freddo </w:t>
      </w:r>
      <w:r w:rsidRPr="002C7337">
        <w:rPr>
          <w:sz w:val="26"/>
          <w:szCs w:val="26"/>
        </w:rPr>
        <w:t xml:space="preserve">standard. Pertanto, anche </w:t>
      </w:r>
      <w:r w:rsidRPr="002C7337">
        <w:rPr>
          <w:b/>
          <w:bCs/>
          <w:sz w:val="26"/>
          <w:szCs w:val="26"/>
        </w:rPr>
        <w:t xml:space="preserve">una completa interruzione dei flussi dalla Russia </w:t>
      </w:r>
      <w:r w:rsidR="00314C73" w:rsidRPr="002C7337">
        <w:rPr>
          <w:b/>
          <w:bCs/>
          <w:sz w:val="26"/>
          <w:szCs w:val="26"/>
        </w:rPr>
        <w:t>da</w:t>
      </w:r>
      <w:r w:rsidR="00E85326" w:rsidRPr="002C7337">
        <w:rPr>
          <w:b/>
          <w:bCs/>
          <w:sz w:val="26"/>
          <w:szCs w:val="26"/>
        </w:rPr>
        <w:t xml:space="preserve"> oggi </w:t>
      </w:r>
      <w:r w:rsidRPr="002C7337">
        <w:rPr>
          <w:b/>
          <w:bCs/>
          <w:sz w:val="26"/>
          <w:szCs w:val="26"/>
        </w:rPr>
        <w:t xml:space="preserve">non dovrebbe comportare </w:t>
      </w:r>
      <w:r w:rsidR="00100004" w:rsidRPr="002C7337">
        <w:rPr>
          <w:b/>
          <w:bCs/>
          <w:sz w:val="26"/>
          <w:szCs w:val="26"/>
        </w:rPr>
        <w:t>problemi di fornitura interna</w:t>
      </w:r>
      <w:r w:rsidRPr="002C7337">
        <w:rPr>
          <w:b/>
          <w:bCs/>
          <w:sz w:val="26"/>
          <w:szCs w:val="26"/>
        </w:rPr>
        <w:t xml:space="preserve">. </w:t>
      </w:r>
      <w:r w:rsidRPr="002C7337">
        <w:rPr>
          <w:sz w:val="26"/>
          <w:szCs w:val="26"/>
        </w:rPr>
        <w:t xml:space="preserve">Eventuali picchi di domanda potrebbero essere assorbiti modulando opportunamente i volumi in stoccaggio o </w:t>
      </w:r>
      <w:r w:rsidR="009B33BF" w:rsidRPr="002C7337">
        <w:rPr>
          <w:sz w:val="26"/>
          <w:szCs w:val="26"/>
        </w:rPr>
        <w:t xml:space="preserve">con </w:t>
      </w:r>
      <w:r w:rsidRPr="002C7337">
        <w:rPr>
          <w:sz w:val="26"/>
          <w:szCs w:val="26"/>
        </w:rPr>
        <w:t xml:space="preserve">altra capacità di import. </w:t>
      </w:r>
      <w:r w:rsidR="00100004" w:rsidRPr="002C7337">
        <w:rPr>
          <w:sz w:val="26"/>
          <w:szCs w:val="26"/>
        </w:rPr>
        <w:t xml:space="preserve">Problemi per assicurare la fornitura a tutti i consumatori italiani </w:t>
      </w:r>
      <w:r w:rsidRPr="002C7337">
        <w:rPr>
          <w:sz w:val="26"/>
          <w:szCs w:val="26"/>
        </w:rPr>
        <w:t>potrebbe</w:t>
      </w:r>
      <w:r w:rsidR="001A173A" w:rsidRPr="002C7337">
        <w:rPr>
          <w:sz w:val="26"/>
          <w:szCs w:val="26"/>
        </w:rPr>
        <w:t>ro</w:t>
      </w:r>
      <w:r w:rsidRPr="002C7337">
        <w:rPr>
          <w:sz w:val="26"/>
          <w:szCs w:val="26"/>
        </w:rPr>
        <w:t xml:space="preserve"> avvenire </w:t>
      </w:r>
      <w:r w:rsidR="00314C73" w:rsidRPr="002C7337">
        <w:rPr>
          <w:sz w:val="26"/>
          <w:szCs w:val="26"/>
        </w:rPr>
        <w:t xml:space="preserve">solo </w:t>
      </w:r>
      <w:r w:rsidRPr="002C7337">
        <w:rPr>
          <w:sz w:val="26"/>
          <w:szCs w:val="26"/>
        </w:rPr>
        <w:t xml:space="preserve">in caso di: i) </w:t>
      </w:r>
      <w:r w:rsidR="00100004" w:rsidRPr="002C7337">
        <w:rPr>
          <w:sz w:val="26"/>
          <w:szCs w:val="26"/>
        </w:rPr>
        <w:t>un picco di freddo eccezionale</w:t>
      </w:r>
      <w:r w:rsidR="00314C73" w:rsidRPr="002C7337">
        <w:rPr>
          <w:sz w:val="26"/>
          <w:szCs w:val="26"/>
        </w:rPr>
        <w:t xml:space="preserve"> entro fine marzo</w:t>
      </w:r>
      <w:r w:rsidRPr="002C7337">
        <w:rPr>
          <w:sz w:val="26"/>
          <w:szCs w:val="26"/>
        </w:rPr>
        <w:t xml:space="preserve"> e/ o ii) contestuale</w:t>
      </w:r>
      <w:r w:rsidR="00135758" w:rsidRPr="002C7337">
        <w:rPr>
          <w:sz w:val="26"/>
          <w:szCs w:val="26"/>
        </w:rPr>
        <w:t xml:space="preserve"> </w:t>
      </w:r>
      <w:r w:rsidRPr="002C7337">
        <w:rPr>
          <w:i/>
          <w:iCs/>
          <w:sz w:val="26"/>
          <w:szCs w:val="26"/>
        </w:rPr>
        <w:t>disruptions</w:t>
      </w:r>
      <w:r w:rsidRPr="002C7337">
        <w:rPr>
          <w:sz w:val="26"/>
          <w:szCs w:val="26"/>
        </w:rPr>
        <w:t xml:space="preserve"> su altre rotte di import</w:t>
      </w:r>
      <w:r w:rsidR="00100004" w:rsidRPr="002C7337">
        <w:rPr>
          <w:sz w:val="26"/>
          <w:szCs w:val="26"/>
        </w:rPr>
        <w:t>azione.</w:t>
      </w:r>
    </w:p>
    <w:p w14:paraId="5F04A440" w14:textId="5532D264" w:rsidR="008232AC" w:rsidRPr="002C7337" w:rsidRDefault="008232AC" w:rsidP="00892B1B">
      <w:pPr>
        <w:pStyle w:val="Default"/>
        <w:numPr>
          <w:ilvl w:val="0"/>
          <w:numId w:val="2"/>
        </w:numPr>
        <w:spacing w:after="120"/>
        <w:rPr>
          <w:b/>
          <w:bCs/>
          <w:sz w:val="26"/>
          <w:szCs w:val="26"/>
        </w:rPr>
      </w:pPr>
      <w:r w:rsidRPr="002C7337">
        <w:rPr>
          <w:sz w:val="26"/>
          <w:szCs w:val="26"/>
        </w:rPr>
        <w:t xml:space="preserve">Nel </w:t>
      </w:r>
      <w:r w:rsidRPr="002C7337">
        <w:rPr>
          <w:b/>
          <w:bCs/>
          <w:sz w:val="26"/>
          <w:szCs w:val="26"/>
        </w:rPr>
        <w:t>medio termine</w:t>
      </w:r>
      <w:r w:rsidRPr="002C7337">
        <w:rPr>
          <w:sz w:val="26"/>
          <w:szCs w:val="26"/>
        </w:rPr>
        <w:t xml:space="preserve">, </w:t>
      </w:r>
      <w:r w:rsidR="008C0371" w:rsidRPr="002C7337">
        <w:rPr>
          <w:sz w:val="26"/>
          <w:szCs w:val="26"/>
        </w:rPr>
        <w:t xml:space="preserve">sarà necessario comunque riempire gli </w:t>
      </w:r>
      <w:r w:rsidR="008C0371" w:rsidRPr="002C7337">
        <w:rPr>
          <w:b/>
          <w:bCs/>
          <w:sz w:val="26"/>
          <w:szCs w:val="26"/>
        </w:rPr>
        <w:t>stoccaggi</w:t>
      </w:r>
      <w:r w:rsidR="008C0371" w:rsidRPr="002C7337">
        <w:rPr>
          <w:sz w:val="26"/>
          <w:szCs w:val="26"/>
        </w:rPr>
        <w:t xml:space="preserve"> </w:t>
      </w:r>
      <w:r w:rsidR="00C81680" w:rsidRPr="002C7337">
        <w:rPr>
          <w:b/>
          <w:bCs/>
          <w:sz w:val="26"/>
          <w:szCs w:val="26"/>
        </w:rPr>
        <w:t xml:space="preserve">al 90% </w:t>
      </w:r>
      <w:r w:rsidR="00C81680" w:rsidRPr="002C7337">
        <w:rPr>
          <w:sz w:val="26"/>
          <w:szCs w:val="26"/>
        </w:rPr>
        <w:t xml:space="preserve">per il prossimo inverno (12 </w:t>
      </w:r>
      <w:r w:rsidR="001A173A" w:rsidRPr="002C7337">
        <w:rPr>
          <w:sz w:val="26"/>
          <w:szCs w:val="26"/>
        </w:rPr>
        <w:t>bcm</w:t>
      </w:r>
      <w:r w:rsidR="00C81680" w:rsidRPr="002C7337">
        <w:rPr>
          <w:sz w:val="26"/>
          <w:szCs w:val="26"/>
        </w:rPr>
        <w:t>)</w:t>
      </w:r>
      <w:r w:rsidR="006E1C6D" w:rsidRPr="002C7337">
        <w:rPr>
          <w:sz w:val="26"/>
          <w:szCs w:val="26"/>
        </w:rPr>
        <w:t>.</w:t>
      </w:r>
      <w:r w:rsidR="00635A42" w:rsidRPr="002C7337">
        <w:rPr>
          <w:sz w:val="26"/>
          <w:szCs w:val="26"/>
        </w:rPr>
        <w:t xml:space="preserve"> L’attivazione con successo delle </w:t>
      </w:r>
      <w:r w:rsidR="00635A42" w:rsidRPr="002C7337">
        <w:rPr>
          <w:b/>
          <w:bCs/>
          <w:sz w:val="26"/>
          <w:szCs w:val="26"/>
        </w:rPr>
        <w:t>misure di breve-medio termine</w:t>
      </w:r>
      <w:r w:rsidR="00635A42" w:rsidRPr="002C7337">
        <w:rPr>
          <w:sz w:val="26"/>
          <w:szCs w:val="26"/>
        </w:rPr>
        <w:t xml:space="preserve"> descritte in seguito </w:t>
      </w:r>
      <w:r w:rsidR="00100004" w:rsidRPr="002C7337">
        <w:rPr>
          <w:sz w:val="26"/>
          <w:szCs w:val="26"/>
        </w:rPr>
        <w:t xml:space="preserve">(unitamente a quelle già approvate </w:t>
      </w:r>
      <w:r w:rsidR="009B33BF" w:rsidRPr="002C7337">
        <w:rPr>
          <w:sz w:val="26"/>
          <w:szCs w:val="26"/>
        </w:rPr>
        <w:t xml:space="preserve">nel </w:t>
      </w:r>
      <w:r w:rsidR="00100004" w:rsidRPr="002C7337">
        <w:rPr>
          <w:sz w:val="26"/>
          <w:szCs w:val="26"/>
        </w:rPr>
        <w:t xml:space="preserve">DL in corso di pubblicazione) </w:t>
      </w:r>
      <w:r w:rsidR="00E85326" w:rsidRPr="002C7337">
        <w:rPr>
          <w:sz w:val="26"/>
          <w:szCs w:val="26"/>
        </w:rPr>
        <w:t xml:space="preserve">serve per controbilanciare </w:t>
      </w:r>
      <w:r w:rsidR="00635A42" w:rsidRPr="002C7337">
        <w:rPr>
          <w:sz w:val="26"/>
          <w:szCs w:val="26"/>
        </w:rPr>
        <w:t>la criticità</w:t>
      </w:r>
      <w:r w:rsidR="00540712" w:rsidRPr="002C7337">
        <w:rPr>
          <w:sz w:val="26"/>
          <w:szCs w:val="26"/>
        </w:rPr>
        <w:t xml:space="preserve"> oggi</w:t>
      </w:r>
      <w:r w:rsidR="003B17EB" w:rsidRPr="002C7337">
        <w:rPr>
          <w:sz w:val="26"/>
          <w:szCs w:val="26"/>
        </w:rPr>
        <w:t xml:space="preserve"> </w:t>
      </w:r>
      <w:r w:rsidR="00540712" w:rsidRPr="002C7337">
        <w:rPr>
          <w:sz w:val="26"/>
          <w:szCs w:val="26"/>
        </w:rPr>
        <w:t>legata a</w:t>
      </w:r>
      <w:r w:rsidR="009E3292" w:rsidRPr="002C7337">
        <w:rPr>
          <w:sz w:val="26"/>
          <w:szCs w:val="26"/>
        </w:rPr>
        <w:t>i prezzi elevati (</w:t>
      </w:r>
      <w:r w:rsidR="006F284A" w:rsidRPr="002C7337">
        <w:rPr>
          <w:sz w:val="26"/>
          <w:szCs w:val="26"/>
        </w:rPr>
        <w:t xml:space="preserve">oltre </w:t>
      </w:r>
      <w:r w:rsidR="00003758" w:rsidRPr="002C7337">
        <w:rPr>
          <w:sz w:val="26"/>
          <w:szCs w:val="26"/>
        </w:rPr>
        <w:t xml:space="preserve">1,5 </w:t>
      </w:r>
      <w:r w:rsidR="003D0621" w:rsidRPr="002C7337">
        <w:rPr>
          <w:sz w:val="26"/>
          <w:szCs w:val="26"/>
        </w:rPr>
        <w:t>€/</w:t>
      </w:r>
      <w:r w:rsidR="006F284A" w:rsidRPr="002C7337">
        <w:rPr>
          <w:sz w:val="26"/>
          <w:szCs w:val="26"/>
        </w:rPr>
        <w:t>S</w:t>
      </w:r>
      <w:r w:rsidR="003D0621" w:rsidRPr="002C7337">
        <w:rPr>
          <w:sz w:val="26"/>
          <w:szCs w:val="26"/>
        </w:rPr>
        <w:t xml:space="preserve">mc a marzo 2022 rispetto ad una media </w:t>
      </w:r>
      <w:r w:rsidR="001E672C" w:rsidRPr="002C7337">
        <w:rPr>
          <w:sz w:val="26"/>
          <w:szCs w:val="26"/>
        </w:rPr>
        <w:t>inferiore a</w:t>
      </w:r>
      <w:r w:rsidR="003D0621" w:rsidRPr="002C7337">
        <w:rPr>
          <w:sz w:val="26"/>
          <w:szCs w:val="26"/>
        </w:rPr>
        <w:t xml:space="preserve"> 0,3</w:t>
      </w:r>
      <w:r w:rsidR="006F284A" w:rsidRPr="002C7337">
        <w:rPr>
          <w:sz w:val="26"/>
          <w:szCs w:val="26"/>
        </w:rPr>
        <w:t xml:space="preserve"> €/Smc</w:t>
      </w:r>
      <w:r w:rsidR="003D0621" w:rsidRPr="002C7337">
        <w:rPr>
          <w:sz w:val="26"/>
          <w:szCs w:val="26"/>
        </w:rPr>
        <w:t xml:space="preserve"> dell’anno precedente) e ad</w:t>
      </w:r>
      <w:r w:rsidR="00540712" w:rsidRPr="002C7337">
        <w:rPr>
          <w:sz w:val="26"/>
          <w:szCs w:val="26"/>
        </w:rPr>
        <w:t xml:space="preserve"> un differenziale di prezzo </w:t>
      </w:r>
      <w:r w:rsidR="00E85326" w:rsidRPr="002C7337">
        <w:rPr>
          <w:sz w:val="26"/>
          <w:szCs w:val="26"/>
        </w:rPr>
        <w:t xml:space="preserve">– invertito rispetto al tradizionale spread stagionale - </w:t>
      </w:r>
      <w:r w:rsidR="00540712" w:rsidRPr="002C7337">
        <w:rPr>
          <w:sz w:val="26"/>
          <w:szCs w:val="26"/>
        </w:rPr>
        <w:t>che scoraggia lo stoccaggio</w:t>
      </w:r>
      <w:r w:rsidR="00635A42" w:rsidRPr="002C7337">
        <w:rPr>
          <w:sz w:val="26"/>
          <w:szCs w:val="26"/>
        </w:rPr>
        <w:t>.</w:t>
      </w:r>
      <w:r w:rsidR="001A173A" w:rsidRPr="002C7337">
        <w:rPr>
          <w:sz w:val="26"/>
          <w:szCs w:val="26"/>
        </w:rPr>
        <w:t xml:space="preserve"> </w:t>
      </w:r>
      <w:r w:rsidR="00E85326" w:rsidRPr="002C7337">
        <w:rPr>
          <w:sz w:val="26"/>
          <w:szCs w:val="26"/>
        </w:rPr>
        <w:t>L’esito delle prime aste dopo l’emanazione del DM stoccaggio (</w:t>
      </w:r>
      <w:r w:rsidR="00911183">
        <w:rPr>
          <w:sz w:val="26"/>
          <w:szCs w:val="26"/>
        </w:rPr>
        <w:t xml:space="preserve">a seguito dei </w:t>
      </w:r>
      <w:r w:rsidR="00E85326" w:rsidRPr="002C7337">
        <w:rPr>
          <w:sz w:val="26"/>
          <w:szCs w:val="26"/>
        </w:rPr>
        <w:t xml:space="preserve">risultati di bassa partecipazione) dimostra che le criticità sono reali e che occorrerà intervenire </w:t>
      </w:r>
      <w:r w:rsidR="00911183">
        <w:rPr>
          <w:sz w:val="26"/>
          <w:szCs w:val="26"/>
        </w:rPr>
        <w:t xml:space="preserve">per il riempimento con una regolazione </w:t>
      </w:r>
      <w:r w:rsidR="00911183" w:rsidRPr="00911183">
        <w:rPr>
          <w:i/>
          <w:sz w:val="26"/>
          <w:szCs w:val="26"/>
        </w:rPr>
        <w:t>ad hoc</w:t>
      </w:r>
      <w:r w:rsidR="00325508">
        <w:rPr>
          <w:sz w:val="26"/>
          <w:szCs w:val="26"/>
        </w:rPr>
        <w:t xml:space="preserve">, </w:t>
      </w:r>
      <w:r w:rsidR="00911183">
        <w:rPr>
          <w:sz w:val="26"/>
          <w:szCs w:val="26"/>
        </w:rPr>
        <w:t>che solleciti la risposta da parte degli operatori e, in mancanza, con un sogget</w:t>
      </w:r>
      <w:r w:rsidR="00325508">
        <w:rPr>
          <w:sz w:val="26"/>
          <w:szCs w:val="26"/>
        </w:rPr>
        <w:t>t</w:t>
      </w:r>
      <w:r w:rsidR="00911183">
        <w:rPr>
          <w:sz w:val="26"/>
          <w:szCs w:val="26"/>
        </w:rPr>
        <w:t>o di ultima istanza</w:t>
      </w:r>
      <w:r w:rsidR="00E85326" w:rsidRPr="002C7337">
        <w:rPr>
          <w:sz w:val="26"/>
          <w:szCs w:val="26"/>
        </w:rPr>
        <w:t>.</w:t>
      </w:r>
    </w:p>
    <w:p w14:paraId="520DF7FC" w14:textId="6D44DAA5" w:rsidR="008433B8" w:rsidRPr="002C7337" w:rsidRDefault="00C81680" w:rsidP="00892B1B">
      <w:pPr>
        <w:pStyle w:val="Default"/>
        <w:numPr>
          <w:ilvl w:val="0"/>
          <w:numId w:val="2"/>
        </w:numPr>
        <w:spacing w:after="120"/>
        <w:rPr>
          <w:b/>
          <w:bCs/>
          <w:sz w:val="26"/>
          <w:szCs w:val="26"/>
        </w:rPr>
      </w:pPr>
      <w:r w:rsidRPr="002C7337">
        <w:rPr>
          <w:b/>
          <w:bCs/>
          <w:sz w:val="26"/>
          <w:szCs w:val="26"/>
        </w:rPr>
        <w:t>Nel lungo termine</w:t>
      </w:r>
      <w:r w:rsidRPr="002C7337">
        <w:rPr>
          <w:sz w:val="26"/>
          <w:szCs w:val="26"/>
        </w:rPr>
        <w:t xml:space="preserve">, a partire dal prossimo inverno, </w:t>
      </w:r>
      <w:r w:rsidR="00635A42" w:rsidRPr="002C7337">
        <w:rPr>
          <w:sz w:val="26"/>
          <w:szCs w:val="26"/>
        </w:rPr>
        <w:t>sarebbe necessario</w:t>
      </w:r>
      <w:r w:rsidRPr="002C7337">
        <w:rPr>
          <w:sz w:val="26"/>
          <w:szCs w:val="26"/>
        </w:rPr>
        <w:t xml:space="preserve"> </w:t>
      </w:r>
      <w:r w:rsidR="00100004" w:rsidRPr="002C7337">
        <w:rPr>
          <w:sz w:val="26"/>
          <w:szCs w:val="26"/>
        </w:rPr>
        <w:t>s</w:t>
      </w:r>
      <w:r w:rsidRPr="002C7337">
        <w:rPr>
          <w:sz w:val="26"/>
          <w:szCs w:val="26"/>
        </w:rPr>
        <w:t xml:space="preserve">ostituire completamente </w:t>
      </w:r>
      <w:r w:rsidR="00100004" w:rsidRPr="002C7337">
        <w:rPr>
          <w:sz w:val="26"/>
          <w:szCs w:val="26"/>
        </w:rPr>
        <w:t>30</w:t>
      </w:r>
      <w:r w:rsidRPr="002C7337">
        <w:rPr>
          <w:sz w:val="26"/>
          <w:szCs w:val="26"/>
        </w:rPr>
        <w:t xml:space="preserve"> bcm di gas russo con altre fonti</w:t>
      </w:r>
      <w:r w:rsidR="00032A2E" w:rsidRPr="002C7337">
        <w:rPr>
          <w:sz w:val="26"/>
          <w:szCs w:val="26"/>
        </w:rPr>
        <w:t>.</w:t>
      </w:r>
      <w:r w:rsidR="00635A42" w:rsidRPr="002C7337">
        <w:rPr>
          <w:sz w:val="26"/>
          <w:szCs w:val="26"/>
        </w:rPr>
        <w:t xml:space="preserve"> Sebbene questo sia possibile in un </w:t>
      </w:r>
      <w:r w:rsidR="00635A42" w:rsidRPr="002C7337">
        <w:rPr>
          <w:b/>
          <w:bCs/>
          <w:sz w:val="26"/>
          <w:szCs w:val="26"/>
        </w:rPr>
        <w:t xml:space="preserve">orizzonte </w:t>
      </w:r>
      <w:r w:rsidR="009E3292" w:rsidRPr="002C7337">
        <w:rPr>
          <w:b/>
          <w:bCs/>
          <w:sz w:val="26"/>
          <w:szCs w:val="26"/>
        </w:rPr>
        <w:t>minimo di 3 anni</w:t>
      </w:r>
      <w:r w:rsidR="00635A42" w:rsidRPr="002C7337">
        <w:rPr>
          <w:sz w:val="26"/>
          <w:szCs w:val="26"/>
        </w:rPr>
        <w:t xml:space="preserve">, tramite le misure strutturali sotto descritte, per </w:t>
      </w:r>
      <w:r w:rsidR="00100004" w:rsidRPr="002C7337">
        <w:rPr>
          <w:sz w:val="26"/>
          <w:szCs w:val="26"/>
        </w:rPr>
        <w:t xml:space="preserve">almeno i </w:t>
      </w:r>
      <w:r w:rsidR="00635A42" w:rsidRPr="002C7337">
        <w:rPr>
          <w:sz w:val="26"/>
          <w:szCs w:val="26"/>
        </w:rPr>
        <w:t>prossim</w:t>
      </w:r>
      <w:r w:rsidR="00100004" w:rsidRPr="002C7337">
        <w:rPr>
          <w:sz w:val="26"/>
          <w:szCs w:val="26"/>
        </w:rPr>
        <w:t>i due</w:t>
      </w:r>
      <w:r w:rsidR="00635A42" w:rsidRPr="002C7337">
        <w:rPr>
          <w:sz w:val="26"/>
          <w:szCs w:val="26"/>
        </w:rPr>
        <w:t xml:space="preserve"> invern</w:t>
      </w:r>
      <w:r w:rsidR="00100004" w:rsidRPr="002C7337">
        <w:rPr>
          <w:sz w:val="26"/>
          <w:szCs w:val="26"/>
        </w:rPr>
        <w:t>i</w:t>
      </w:r>
      <w:r w:rsidR="00635A42" w:rsidRPr="002C7337">
        <w:rPr>
          <w:sz w:val="26"/>
          <w:szCs w:val="26"/>
        </w:rPr>
        <w:t xml:space="preserve"> </w:t>
      </w:r>
      <w:r w:rsidR="00100004" w:rsidRPr="002C7337">
        <w:rPr>
          <w:sz w:val="26"/>
          <w:szCs w:val="26"/>
        </w:rPr>
        <w:t xml:space="preserve">sarebbe </w:t>
      </w:r>
      <w:r w:rsidR="003B17EB" w:rsidRPr="002C7337">
        <w:rPr>
          <w:sz w:val="26"/>
          <w:szCs w:val="26"/>
        </w:rPr>
        <w:t>complesso</w:t>
      </w:r>
      <w:r w:rsidR="00100004" w:rsidRPr="002C7337">
        <w:rPr>
          <w:sz w:val="26"/>
          <w:szCs w:val="26"/>
        </w:rPr>
        <w:t xml:space="preserve"> assicurare tutte le forniture</w:t>
      </w:r>
      <w:r w:rsidR="00124EFD" w:rsidRPr="002C7337">
        <w:rPr>
          <w:sz w:val="26"/>
          <w:szCs w:val="26"/>
        </w:rPr>
        <w:t xml:space="preserve"> al sistema italiano</w:t>
      </w:r>
      <w:r w:rsidR="00E85326" w:rsidRPr="002C7337">
        <w:rPr>
          <w:sz w:val="26"/>
          <w:szCs w:val="26"/>
        </w:rPr>
        <w:t xml:space="preserve"> e occorre dotarsi di strumenti di accelerazione molto efficaci per gli investimenti che servono</w:t>
      </w:r>
      <w:r w:rsidR="00100004" w:rsidRPr="002C7337">
        <w:rPr>
          <w:sz w:val="26"/>
          <w:szCs w:val="26"/>
        </w:rPr>
        <w:t>.</w:t>
      </w:r>
      <w:bookmarkStart w:id="4" w:name="_Hlk98149760"/>
    </w:p>
    <w:p w14:paraId="11FC0A77" w14:textId="49C0A0D8" w:rsidR="00AD601D" w:rsidRPr="002C7337" w:rsidRDefault="00AD601D" w:rsidP="002C7337">
      <w:pPr>
        <w:pStyle w:val="Default"/>
        <w:spacing w:after="120"/>
        <w:ind w:left="360"/>
        <w:rPr>
          <w:sz w:val="26"/>
          <w:szCs w:val="26"/>
        </w:rPr>
      </w:pPr>
      <w:r w:rsidRPr="002C7337">
        <w:rPr>
          <w:sz w:val="26"/>
          <w:szCs w:val="26"/>
        </w:rPr>
        <w:t xml:space="preserve">È opportuno ricordare che le problematiche di sicurezza sono da valutare </w:t>
      </w:r>
      <w:r w:rsidRPr="002C7337">
        <w:rPr>
          <w:b/>
          <w:bCs/>
          <w:sz w:val="26"/>
          <w:szCs w:val="26"/>
        </w:rPr>
        <w:t>sia in ‘integrale’</w:t>
      </w:r>
      <w:r w:rsidRPr="002C7337">
        <w:rPr>
          <w:sz w:val="26"/>
          <w:szCs w:val="26"/>
        </w:rPr>
        <w:t xml:space="preserve"> su base annua che tenendo conto di stagionalità ed esigenze </w:t>
      </w:r>
      <w:r w:rsidRPr="002C7337">
        <w:rPr>
          <w:b/>
          <w:bCs/>
          <w:sz w:val="26"/>
          <w:szCs w:val="26"/>
        </w:rPr>
        <w:t>‘alla punta’</w:t>
      </w:r>
      <w:r w:rsidR="00BC5244" w:rsidRPr="002C7337">
        <w:rPr>
          <w:b/>
          <w:bCs/>
          <w:sz w:val="26"/>
          <w:szCs w:val="26"/>
        </w:rPr>
        <w:t>.</w:t>
      </w:r>
    </w:p>
    <w:bookmarkEnd w:id="4"/>
    <w:p w14:paraId="01EA4299" w14:textId="2AF8EA87" w:rsidR="00AD601D" w:rsidRDefault="00AD601D" w:rsidP="002C7337">
      <w:pPr>
        <w:pStyle w:val="Default"/>
        <w:spacing w:after="120"/>
        <w:rPr>
          <w:sz w:val="26"/>
          <w:szCs w:val="26"/>
        </w:rPr>
      </w:pPr>
    </w:p>
    <w:p w14:paraId="6025480A" w14:textId="34B55AC3" w:rsidR="00C53401" w:rsidRPr="002C7337" w:rsidRDefault="006E1C6D" w:rsidP="00892B1B">
      <w:pPr>
        <w:pStyle w:val="Paragrafoelenco"/>
        <w:numPr>
          <w:ilvl w:val="0"/>
          <w:numId w:val="12"/>
        </w:numPr>
        <w:spacing w:after="120"/>
        <w:rPr>
          <w:b/>
          <w:bCs/>
          <w:sz w:val="26"/>
          <w:szCs w:val="26"/>
        </w:rPr>
      </w:pPr>
      <w:r w:rsidRPr="002C7337">
        <w:rPr>
          <w:b/>
          <w:bCs/>
          <w:sz w:val="26"/>
          <w:szCs w:val="26"/>
        </w:rPr>
        <w:t xml:space="preserve">Possibili misure </w:t>
      </w:r>
      <w:r w:rsidR="00635A42" w:rsidRPr="002C7337">
        <w:rPr>
          <w:b/>
          <w:bCs/>
          <w:sz w:val="26"/>
          <w:szCs w:val="26"/>
        </w:rPr>
        <w:t>per incrementare la sicurezza del sistema a breve-medio termine</w:t>
      </w:r>
    </w:p>
    <w:p w14:paraId="102F0A9F" w14:textId="2A5093DC" w:rsidR="00AD601D" w:rsidRPr="002C7337" w:rsidRDefault="00D820E5" w:rsidP="002C7337">
      <w:pPr>
        <w:pStyle w:val="Default"/>
        <w:spacing w:after="120"/>
        <w:rPr>
          <w:sz w:val="26"/>
          <w:szCs w:val="26"/>
        </w:rPr>
      </w:pPr>
      <w:r w:rsidRPr="002C7337">
        <w:rPr>
          <w:sz w:val="26"/>
          <w:szCs w:val="26"/>
        </w:rPr>
        <w:t>Nel corso delle ultime settimane il Governo si è mobilizzato per attivare</w:t>
      </w:r>
      <w:r w:rsidR="00564EEF" w:rsidRPr="002C7337">
        <w:rPr>
          <w:sz w:val="26"/>
          <w:szCs w:val="26"/>
        </w:rPr>
        <w:t xml:space="preserve"> </w:t>
      </w:r>
      <w:r w:rsidR="006E1C6D" w:rsidRPr="002C7337">
        <w:rPr>
          <w:sz w:val="26"/>
          <w:szCs w:val="26"/>
        </w:rPr>
        <w:t>misure con impatto a breve</w:t>
      </w:r>
      <w:r w:rsidR="00100004" w:rsidRPr="002C7337">
        <w:rPr>
          <w:sz w:val="26"/>
          <w:szCs w:val="26"/>
        </w:rPr>
        <w:t>-medio</w:t>
      </w:r>
      <w:r w:rsidR="00C372AB" w:rsidRPr="002C7337">
        <w:rPr>
          <w:sz w:val="26"/>
          <w:szCs w:val="26"/>
        </w:rPr>
        <w:t xml:space="preserve"> </w:t>
      </w:r>
      <w:r w:rsidR="006E3D14" w:rsidRPr="002C7337">
        <w:rPr>
          <w:sz w:val="26"/>
          <w:szCs w:val="26"/>
        </w:rPr>
        <w:t>termine</w:t>
      </w:r>
      <w:r w:rsidRPr="002C7337">
        <w:rPr>
          <w:sz w:val="26"/>
          <w:szCs w:val="26"/>
        </w:rPr>
        <w:t xml:space="preserve">, </w:t>
      </w:r>
      <w:r w:rsidR="00F0659A" w:rsidRPr="002C7337">
        <w:rPr>
          <w:sz w:val="26"/>
          <w:szCs w:val="26"/>
        </w:rPr>
        <w:t xml:space="preserve">anche con missioni nei Paesi produttori (Qatar, Algeria, Angola, Congo), </w:t>
      </w:r>
      <w:r w:rsidRPr="002C7337">
        <w:rPr>
          <w:sz w:val="26"/>
          <w:szCs w:val="26"/>
        </w:rPr>
        <w:t>che si stima</w:t>
      </w:r>
      <w:r w:rsidR="006E3D14" w:rsidRPr="002C7337">
        <w:rPr>
          <w:sz w:val="26"/>
          <w:szCs w:val="26"/>
        </w:rPr>
        <w:t xml:space="preserve"> </w:t>
      </w:r>
      <w:r w:rsidR="00032A2E" w:rsidRPr="002C7337">
        <w:rPr>
          <w:sz w:val="26"/>
          <w:szCs w:val="26"/>
        </w:rPr>
        <w:t>poss</w:t>
      </w:r>
      <w:r w:rsidR="00564EEF" w:rsidRPr="002C7337">
        <w:rPr>
          <w:sz w:val="26"/>
          <w:szCs w:val="26"/>
        </w:rPr>
        <w:t>a</w:t>
      </w:r>
      <w:r w:rsidR="00032A2E" w:rsidRPr="002C7337">
        <w:rPr>
          <w:sz w:val="26"/>
          <w:szCs w:val="26"/>
        </w:rPr>
        <w:t xml:space="preserve">no portare </w:t>
      </w:r>
      <w:r w:rsidR="001A173A" w:rsidRPr="002C7337">
        <w:rPr>
          <w:sz w:val="26"/>
          <w:szCs w:val="26"/>
        </w:rPr>
        <w:t xml:space="preserve">complessivamente </w:t>
      </w:r>
      <w:r w:rsidR="00032A2E" w:rsidRPr="002C7337">
        <w:rPr>
          <w:sz w:val="26"/>
          <w:szCs w:val="26"/>
        </w:rPr>
        <w:t xml:space="preserve">a ridurre la dipendenza per </w:t>
      </w:r>
      <w:r w:rsidR="00A05D37" w:rsidRPr="002C7337">
        <w:rPr>
          <w:sz w:val="26"/>
          <w:szCs w:val="26"/>
        </w:rPr>
        <w:t xml:space="preserve">circa </w:t>
      </w:r>
      <w:r w:rsidR="00A05D37" w:rsidRPr="002C7337">
        <w:rPr>
          <w:b/>
          <w:bCs/>
          <w:sz w:val="26"/>
          <w:szCs w:val="26"/>
        </w:rPr>
        <w:t>20</w:t>
      </w:r>
      <w:r w:rsidR="00032A2E" w:rsidRPr="002C7337">
        <w:rPr>
          <w:b/>
          <w:bCs/>
          <w:sz w:val="26"/>
          <w:szCs w:val="26"/>
        </w:rPr>
        <w:t xml:space="preserve"> bcm</w:t>
      </w:r>
      <w:r w:rsidR="00C8776D" w:rsidRPr="002C7337">
        <w:rPr>
          <w:b/>
          <w:bCs/>
          <w:sz w:val="26"/>
          <w:szCs w:val="26"/>
        </w:rPr>
        <w:t xml:space="preserve"> </w:t>
      </w:r>
      <w:r w:rsidR="00C8776D" w:rsidRPr="002C7337">
        <w:rPr>
          <w:sz w:val="26"/>
          <w:szCs w:val="26"/>
        </w:rPr>
        <w:t>l’anno</w:t>
      </w:r>
      <w:r w:rsidR="00C372AB" w:rsidRPr="002C7337">
        <w:rPr>
          <w:sz w:val="26"/>
          <w:szCs w:val="26"/>
        </w:rPr>
        <w:t>:</w:t>
      </w:r>
    </w:p>
    <w:p w14:paraId="78CA9776" w14:textId="7DCAD168" w:rsidR="00C372AB" w:rsidRPr="001B49AC" w:rsidRDefault="00761508" w:rsidP="00892B1B">
      <w:pPr>
        <w:pStyle w:val="Default"/>
        <w:numPr>
          <w:ilvl w:val="0"/>
          <w:numId w:val="9"/>
        </w:numPr>
        <w:spacing w:after="120"/>
        <w:rPr>
          <w:sz w:val="26"/>
          <w:szCs w:val="26"/>
          <w:highlight w:val="lightGray"/>
        </w:rPr>
      </w:pPr>
      <w:r w:rsidRPr="002C7337">
        <w:rPr>
          <w:b/>
          <w:bCs/>
          <w:sz w:val="26"/>
          <w:szCs w:val="26"/>
        </w:rPr>
        <w:t>I</w:t>
      </w:r>
      <w:r w:rsidR="00C372AB" w:rsidRPr="002C7337">
        <w:rPr>
          <w:b/>
          <w:bCs/>
          <w:sz w:val="26"/>
          <w:szCs w:val="26"/>
        </w:rPr>
        <w:t xml:space="preserve">ncremento </w:t>
      </w:r>
      <w:r w:rsidR="00314C73" w:rsidRPr="002C7337">
        <w:rPr>
          <w:b/>
          <w:bCs/>
          <w:sz w:val="26"/>
          <w:szCs w:val="26"/>
        </w:rPr>
        <w:t xml:space="preserve">di </w:t>
      </w:r>
      <w:r w:rsidR="00100004" w:rsidRPr="002C7337">
        <w:rPr>
          <w:b/>
          <w:bCs/>
          <w:sz w:val="26"/>
          <w:szCs w:val="26"/>
        </w:rPr>
        <w:t>importazioni del</w:t>
      </w:r>
      <w:r w:rsidR="00C372AB" w:rsidRPr="002C7337">
        <w:rPr>
          <w:b/>
          <w:bCs/>
          <w:sz w:val="26"/>
          <w:szCs w:val="26"/>
        </w:rPr>
        <w:t xml:space="preserve"> gas algerino</w:t>
      </w:r>
      <w:r w:rsidR="00C372AB" w:rsidRPr="002C7337">
        <w:rPr>
          <w:sz w:val="26"/>
          <w:szCs w:val="26"/>
        </w:rPr>
        <w:t xml:space="preserve">. </w:t>
      </w:r>
      <w:r w:rsidR="00411FDC" w:rsidRPr="002C7337">
        <w:rPr>
          <w:sz w:val="26"/>
          <w:szCs w:val="26"/>
        </w:rPr>
        <w:t>In particolare,</w:t>
      </w:r>
      <w:r w:rsidR="00C372AB" w:rsidRPr="002C7337">
        <w:rPr>
          <w:sz w:val="26"/>
          <w:szCs w:val="26"/>
        </w:rPr>
        <w:t xml:space="preserve"> con le infrastrutture attuali è ipotizzabile un incremento </w:t>
      </w:r>
      <w:r w:rsidR="00100004" w:rsidRPr="002C7337">
        <w:rPr>
          <w:sz w:val="26"/>
          <w:szCs w:val="26"/>
        </w:rPr>
        <w:t xml:space="preserve">fino a </w:t>
      </w:r>
      <w:r w:rsidR="00C77626" w:rsidRPr="002C7337">
        <w:rPr>
          <w:b/>
          <w:bCs/>
          <w:sz w:val="26"/>
          <w:szCs w:val="26"/>
        </w:rPr>
        <w:t>9</w:t>
      </w:r>
      <w:r w:rsidR="00C372AB" w:rsidRPr="002C7337">
        <w:rPr>
          <w:b/>
          <w:bCs/>
          <w:sz w:val="26"/>
          <w:szCs w:val="26"/>
        </w:rPr>
        <w:t xml:space="preserve"> bcm/ anno</w:t>
      </w:r>
      <w:r w:rsidR="00C372AB" w:rsidRPr="002C7337">
        <w:rPr>
          <w:sz w:val="26"/>
          <w:szCs w:val="26"/>
        </w:rPr>
        <w:t xml:space="preserve">. </w:t>
      </w:r>
    </w:p>
    <w:p w14:paraId="6B69EA74" w14:textId="4AD408AD" w:rsidR="004E043C" w:rsidRPr="002C7337" w:rsidRDefault="004E043C" w:rsidP="00892B1B">
      <w:pPr>
        <w:pStyle w:val="Default"/>
        <w:numPr>
          <w:ilvl w:val="0"/>
          <w:numId w:val="9"/>
        </w:numPr>
        <w:spacing w:after="120"/>
        <w:rPr>
          <w:sz w:val="26"/>
          <w:szCs w:val="26"/>
        </w:rPr>
      </w:pPr>
      <w:r w:rsidRPr="002C7337">
        <w:rPr>
          <w:b/>
          <w:bCs/>
          <w:sz w:val="26"/>
          <w:szCs w:val="26"/>
        </w:rPr>
        <w:t xml:space="preserve">Incremento </w:t>
      </w:r>
      <w:r w:rsidR="00AF7B3B" w:rsidRPr="002C7337">
        <w:rPr>
          <w:b/>
          <w:bCs/>
          <w:sz w:val="26"/>
          <w:szCs w:val="26"/>
        </w:rPr>
        <w:t xml:space="preserve">import su infrastruttura </w:t>
      </w:r>
      <w:r w:rsidRPr="002C7337">
        <w:rPr>
          <w:b/>
          <w:bCs/>
          <w:sz w:val="26"/>
          <w:szCs w:val="26"/>
        </w:rPr>
        <w:t>TAP</w:t>
      </w:r>
      <w:r w:rsidR="00AF7B3B" w:rsidRPr="002C7337">
        <w:rPr>
          <w:b/>
          <w:bCs/>
          <w:sz w:val="26"/>
          <w:szCs w:val="26"/>
        </w:rPr>
        <w:t xml:space="preserve"> attuale</w:t>
      </w:r>
      <w:r w:rsidR="00D4511D" w:rsidRPr="002C7337">
        <w:rPr>
          <w:b/>
          <w:bCs/>
          <w:sz w:val="26"/>
          <w:szCs w:val="26"/>
        </w:rPr>
        <w:t xml:space="preserve">. </w:t>
      </w:r>
      <w:r w:rsidR="00D4511D" w:rsidRPr="002C7337">
        <w:rPr>
          <w:sz w:val="26"/>
          <w:szCs w:val="26"/>
        </w:rPr>
        <w:t xml:space="preserve">In particolare, con le infrastrutture attuali è ipotizzabile un incremento di circa </w:t>
      </w:r>
      <w:r w:rsidR="00D4511D" w:rsidRPr="002C7337">
        <w:rPr>
          <w:b/>
          <w:bCs/>
          <w:sz w:val="26"/>
          <w:szCs w:val="26"/>
        </w:rPr>
        <w:t>1,5 bcm l’anno</w:t>
      </w:r>
      <w:r w:rsidR="00D4511D" w:rsidRPr="002C7337">
        <w:rPr>
          <w:sz w:val="26"/>
          <w:szCs w:val="26"/>
        </w:rPr>
        <w:t xml:space="preserve"> (5 mmc/ giorno) tramite interventi sulle centrali di spinta in Albania e Grecia, a patto di avere</w:t>
      </w:r>
      <w:r w:rsidR="00314C73" w:rsidRPr="002C7337">
        <w:rPr>
          <w:sz w:val="26"/>
          <w:szCs w:val="26"/>
        </w:rPr>
        <w:t xml:space="preserve"> a breve</w:t>
      </w:r>
      <w:r w:rsidR="00D4511D" w:rsidRPr="002C7337">
        <w:rPr>
          <w:sz w:val="26"/>
          <w:szCs w:val="26"/>
        </w:rPr>
        <w:t xml:space="preserve"> tali volumi aggiunti</w:t>
      </w:r>
      <w:r w:rsidR="00314C73" w:rsidRPr="002C7337">
        <w:rPr>
          <w:sz w:val="26"/>
          <w:szCs w:val="26"/>
        </w:rPr>
        <w:t>v</w:t>
      </w:r>
      <w:r w:rsidR="00D4511D" w:rsidRPr="002C7337">
        <w:rPr>
          <w:sz w:val="26"/>
          <w:szCs w:val="26"/>
        </w:rPr>
        <w:t>i dall’</w:t>
      </w:r>
      <w:r w:rsidR="00A05D37" w:rsidRPr="002C7337">
        <w:rPr>
          <w:sz w:val="26"/>
          <w:szCs w:val="26"/>
        </w:rPr>
        <w:t>Azerbaijan</w:t>
      </w:r>
      <w:r w:rsidR="00D4511D" w:rsidRPr="002C7337">
        <w:rPr>
          <w:sz w:val="26"/>
          <w:szCs w:val="26"/>
        </w:rPr>
        <w:t xml:space="preserve">. </w:t>
      </w:r>
    </w:p>
    <w:p w14:paraId="06A41ECA" w14:textId="2194D323" w:rsidR="0023200F" w:rsidRPr="002C7337" w:rsidRDefault="00C372AB" w:rsidP="00892B1B">
      <w:pPr>
        <w:pStyle w:val="Default"/>
        <w:numPr>
          <w:ilvl w:val="0"/>
          <w:numId w:val="9"/>
        </w:numPr>
        <w:spacing w:after="120"/>
        <w:rPr>
          <w:sz w:val="26"/>
          <w:szCs w:val="26"/>
        </w:rPr>
      </w:pPr>
      <w:r w:rsidRPr="002C7337">
        <w:rPr>
          <w:b/>
          <w:bCs/>
          <w:sz w:val="26"/>
          <w:szCs w:val="26"/>
        </w:rPr>
        <w:t>Massimizzazione utilizzo</w:t>
      </w:r>
      <w:r w:rsidR="00871AD1" w:rsidRPr="002C7337">
        <w:rPr>
          <w:b/>
          <w:bCs/>
          <w:sz w:val="26"/>
          <w:szCs w:val="26"/>
        </w:rPr>
        <w:t xml:space="preserve"> dei</w:t>
      </w:r>
      <w:r w:rsidRPr="002C7337">
        <w:rPr>
          <w:b/>
          <w:bCs/>
          <w:sz w:val="26"/>
          <w:szCs w:val="26"/>
        </w:rPr>
        <w:t xml:space="preserve"> terminali GNL </w:t>
      </w:r>
      <w:r w:rsidR="00896001" w:rsidRPr="002C7337">
        <w:rPr>
          <w:sz w:val="26"/>
          <w:szCs w:val="26"/>
        </w:rPr>
        <w:t>a disposizione</w:t>
      </w:r>
      <w:r w:rsidR="00B43744" w:rsidRPr="002C7337">
        <w:rPr>
          <w:sz w:val="26"/>
          <w:szCs w:val="26"/>
        </w:rPr>
        <w:t>. In particolare, è ipotizzabile</w:t>
      </w:r>
      <w:r w:rsidR="00AE37AF" w:rsidRPr="002C7337">
        <w:rPr>
          <w:sz w:val="26"/>
          <w:szCs w:val="26"/>
        </w:rPr>
        <w:t xml:space="preserve"> </w:t>
      </w:r>
      <w:r w:rsidR="00B43744" w:rsidRPr="002C7337">
        <w:rPr>
          <w:sz w:val="26"/>
          <w:szCs w:val="26"/>
        </w:rPr>
        <w:t xml:space="preserve">un maggiore utilizzo dei terminali </w:t>
      </w:r>
      <w:r w:rsidR="00A05D37" w:rsidRPr="002C7337">
        <w:rPr>
          <w:sz w:val="26"/>
          <w:szCs w:val="26"/>
        </w:rPr>
        <w:t xml:space="preserve">italiani </w:t>
      </w:r>
      <w:r w:rsidR="00B43744" w:rsidRPr="002C7337">
        <w:rPr>
          <w:sz w:val="26"/>
          <w:szCs w:val="26"/>
        </w:rPr>
        <w:t xml:space="preserve">anche nei periodi dell’anno in </w:t>
      </w:r>
      <w:r w:rsidR="00B43744" w:rsidRPr="002C7337">
        <w:rPr>
          <w:sz w:val="26"/>
          <w:szCs w:val="26"/>
        </w:rPr>
        <w:lastRenderedPageBreak/>
        <w:t xml:space="preserve">cui tipicamente non sono utilizzati (con possibile incremento </w:t>
      </w:r>
      <w:r w:rsidR="00314C73" w:rsidRPr="002C7337">
        <w:rPr>
          <w:sz w:val="26"/>
          <w:szCs w:val="26"/>
        </w:rPr>
        <w:t xml:space="preserve">complessivo </w:t>
      </w:r>
      <w:r w:rsidR="00B43744" w:rsidRPr="002C7337">
        <w:rPr>
          <w:sz w:val="26"/>
          <w:szCs w:val="26"/>
        </w:rPr>
        <w:t xml:space="preserve">di </w:t>
      </w:r>
      <w:r w:rsidR="00A05D37" w:rsidRPr="002C7337">
        <w:rPr>
          <w:b/>
          <w:bCs/>
          <w:sz w:val="26"/>
          <w:szCs w:val="26"/>
        </w:rPr>
        <w:t>6</w:t>
      </w:r>
      <w:r w:rsidR="00B43744" w:rsidRPr="002C7337">
        <w:rPr>
          <w:b/>
          <w:bCs/>
          <w:sz w:val="26"/>
          <w:szCs w:val="26"/>
        </w:rPr>
        <w:t xml:space="preserve"> bcm/anno</w:t>
      </w:r>
      <w:r w:rsidR="00B43744" w:rsidRPr="002C7337">
        <w:rPr>
          <w:sz w:val="26"/>
          <w:szCs w:val="26"/>
        </w:rPr>
        <w:t>)</w:t>
      </w:r>
      <w:r w:rsidR="00A05D37" w:rsidRPr="002C7337">
        <w:rPr>
          <w:sz w:val="26"/>
          <w:szCs w:val="26"/>
        </w:rPr>
        <w:t xml:space="preserve">. Questo implica la disponibilità di GNL aggiuntiva e un </w:t>
      </w:r>
      <w:r w:rsidR="00B43744" w:rsidRPr="002C7337">
        <w:rPr>
          <w:sz w:val="26"/>
          <w:szCs w:val="26"/>
        </w:rPr>
        <w:t>migliore utilizzo de</w:t>
      </w:r>
      <w:r w:rsidR="006C6340" w:rsidRPr="002C7337">
        <w:rPr>
          <w:sz w:val="26"/>
          <w:szCs w:val="26"/>
        </w:rPr>
        <w:t>i</w:t>
      </w:r>
      <w:r w:rsidR="00B43744" w:rsidRPr="002C7337">
        <w:rPr>
          <w:sz w:val="26"/>
          <w:szCs w:val="26"/>
        </w:rPr>
        <w:t xml:space="preserve"> terminal</w:t>
      </w:r>
      <w:r w:rsidR="006C6340" w:rsidRPr="002C7337">
        <w:rPr>
          <w:sz w:val="26"/>
          <w:szCs w:val="26"/>
        </w:rPr>
        <w:t>i</w:t>
      </w:r>
      <w:r w:rsidR="00D820E5" w:rsidRPr="002C7337">
        <w:rPr>
          <w:sz w:val="26"/>
          <w:szCs w:val="26"/>
        </w:rPr>
        <w:t xml:space="preserve"> (e.g. </w:t>
      </w:r>
      <w:r w:rsidR="00AB171D" w:rsidRPr="002C7337">
        <w:rPr>
          <w:sz w:val="26"/>
          <w:szCs w:val="26"/>
        </w:rPr>
        <w:t xml:space="preserve">come da recenti intese con </w:t>
      </w:r>
      <w:r w:rsidR="00D820E5" w:rsidRPr="002C7337">
        <w:rPr>
          <w:sz w:val="26"/>
          <w:szCs w:val="26"/>
        </w:rPr>
        <w:t>Qatar)</w:t>
      </w:r>
      <w:r w:rsidR="00A05D37" w:rsidRPr="002C7337">
        <w:rPr>
          <w:sz w:val="26"/>
          <w:szCs w:val="26"/>
        </w:rPr>
        <w:t>.</w:t>
      </w:r>
    </w:p>
    <w:p w14:paraId="1402990F" w14:textId="7EE0794D" w:rsidR="0023200F" w:rsidRPr="002C7337" w:rsidRDefault="002A3A3C" w:rsidP="00892B1B">
      <w:pPr>
        <w:pStyle w:val="Default"/>
        <w:numPr>
          <w:ilvl w:val="0"/>
          <w:numId w:val="9"/>
        </w:numPr>
        <w:spacing w:after="120"/>
        <w:rPr>
          <w:sz w:val="26"/>
          <w:szCs w:val="26"/>
        </w:rPr>
      </w:pPr>
      <w:r w:rsidRPr="002C7337">
        <w:rPr>
          <w:b/>
          <w:bCs/>
          <w:sz w:val="26"/>
          <w:szCs w:val="26"/>
        </w:rPr>
        <w:t xml:space="preserve">Incentivazione </w:t>
      </w:r>
      <w:r w:rsidR="0023200F" w:rsidRPr="002C7337">
        <w:rPr>
          <w:b/>
          <w:bCs/>
          <w:sz w:val="26"/>
          <w:szCs w:val="26"/>
        </w:rPr>
        <w:t xml:space="preserve">iniezione gas in stoccaggio. </w:t>
      </w:r>
      <w:r w:rsidR="0023200F" w:rsidRPr="002C7337">
        <w:rPr>
          <w:sz w:val="26"/>
          <w:szCs w:val="26"/>
        </w:rPr>
        <w:t xml:space="preserve">Per far sì che </w:t>
      </w:r>
      <w:r w:rsidR="008726F5" w:rsidRPr="002C7337">
        <w:rPr>
          <w:sz w:val="26"/>
          <w:szCs w:val="26"/>
        </w:rPr>
        <w:t xml:space="preserve">il ciclo di riempimento degli stoccaggi che si sta ora avviando in previsione del prossimo periodo invernale sia il più rapido ed efficace possibile e per garantire che </w:t>
      </w:r>
      <w:r w:rsidR="0023200F" w:rsidRPr="002C7337">
        <w:rPr>
          <w:sz w:val="26"/>
          <w:szCs w:val="26"/>
        </w:rPr>
        <w:t xml:space="preserve">le misure di </w:t>
      </w:r>
      <w:r w:rsidR="008726F5" w:rsidRPr="002C7337">
        <w:rPr>
          <w:sz w:val="26"/>
          <w:szCs w:val="26"/>
        </w:rPr>
        <w:t xml:space="preserve">risparmio di gas di </w:t>
      </w:r>
      <w:r w:rsidR="0023200F" w:rsidRPr="002C7337">
        <w:rPr>
          <w:sz w:val="26"/>
          <w:szCs w:val="26"/>
        </w:rPr>
        <w:t xml:space="preserve">cui sopra abbiano l’effetto di </w:t>
      </w:r>
      <w:r w:rsidR="008726F5" w:rsidRPr="002C7337">
        <w:rPr>
          <w:sz w:val="26"/>
          <w:szCs w:val="26"/>
        </w:rPr>
        <w:t xml:space="preserve">ottenere </w:t>
      </w:r>
      <w:r w:rsidR="0023200F" w:rsidRPr="002C7337">
        <w:rPr>
          <w:sz w:val="26"/>
          <w:szCs w:val="26"/>
        </w:rPr>
        <w:t xml:space="preserve">l’effettiva iniezione di gas in stoccaggio (altrimenti potrebbero risolversi solo in un minore import) è necessario ricorrere, attraverso strumenti regolatori, a </w:t>
      </w:r>
      <w:r w:rsidR="00DE023A" w:rsidRPr="002C7337">
        <w:rPr>
          <w:sz w:val="26"/>
          <w:szCs w:val="26"/>
        </w:rPr>
        <w:t>una serie di misure</w:t>
      </w:r>
      <w:r w:rsidR="008726F5" w:rsidRPr="002C7337">
        <w:rPr>
          <w:sz w:val="26"/>
          <w:szCs w:val="26"/>
        </w:rPr>
        <w:t xml:space="preserve"> che realizzino tale possibilità</w:t>
      </w:r>
      <w:r w:rsidR="00025AEE" w:rsidRPr="002C7337">
        <w:rPr>
          <w:sz w:val="26"/>
          <w:szCs w:val="26"/>
        </w:rPr>
        <w:t>.</w:t>
      </w:r>
    </w:p>
    <w:p w14:paraId="199B57AD" w14:textId="07C7245E" w:rsidR="00C86AB1" w:rsidRPr="00A16445" w:rsidRDefault="001B49AC" w:rsidP="00B8209E">
      <w:pPr>
        <w:pStyle w:val="Default"/>
        <w:numPr>
          <w:ilvl w:val="0"/>
          <w:numId w:val="9"/>
        </w:numPr>
        <w:spacing w:after="120"/>
        <w:ind w:left="360"/>
        <w:rPr>
          <w:sz w:val="26"/>
          <w:szCs w:val="26"/>
        </w:rPr>
      </w:pPr>
      <w:r w:rsidRPr="00A16445">
        <w:rPr>
          <w:b/>
          <w:bCs/>
          <w:sz w:val="26"/>
          <w:szCs w:val="26"/>
        </w:rPr>
        <w:t xml:space="preserve">Ricordiamo inoltre che,  come  </w:t>
      </w:r>
      <w:r w:rsidRPr="00A16445">
        <w:rPr>
          <w:sz w:val="26"/>
          <w:szCs w:val="26"/>
        </w:rPr>
        <w:t xml:space="preserve">previsto dal Piano di emergenza nazionale del gas per i casi di emergenza </w:t>
      </w:r>
      <w:r w:rsidR="00A278DD" w:rsidRPr="00A16445">
        <w:rPr>
          <w:sz w:val="26"/>
          <w:szCs w:val="26"/>
        </w:rPr>
        <w:t xml:space="preserve">è possibile incrementare la produzione a carbone o olio </w:t>
      </w:r>
      <w:r w:rsidRPr="00A16445">
        <w:rPr>
          <w:sz w:val="26"/>
          <w:szCs w:val="26"/>
        </w:rPr>
        <w:t xml:space="preserve">per periodi definiti </w:t>
      </w:r>
      <w:r w:rsidR="00A278DD" w:rsidRPr="00A16445">
        <w:rPr>
          <w:sz w:val="26"/>
          <w:szCs w:val="26"/>
        </w:rPr>
        <w:t xml:space="preserve">con risparmio di </w:t>
      </w:r>
      <w:r w:rsidR="00A278DD" w:rsidRPr="00A16445">
        <w:rPr>
          <w:b/>
          <w:bCs/>
          <w:sz w:val="26"/>
          <w:szCs w:val="26"/>
        </w:rPr>
        <w:t>3-4 bcm/ anno</w:t>
      </w:r>
      <w:r w:rsidR="00A278DD" w:rsidRPr="00A16445">
        <w:rPr>
          <w:sz w:val="26"/>
          <w:szCs w:val="26"/>
        </w:rPr>
        <w:t xml:space="preserve"> di gas naturale. </w:t>
      </w:r>
      <w:r w:rsidR="00C86AB1" w:rsidRPr="00A16445">
        <w:rPr>
          <w:bCs/>
          <w:sz w:val="26"/>
          <w:szCs w:val="26"/>
        </w:rPr>
        <w:t>Con principale riferimento ai</w:t>
      </w:r>
      <w:r w:rsidR="00C86AB1" w:rsidRPr="00A16445">
        <w:rPr>
          <w:b/>
          <w:bCs/>
          <w:sz w:val="26"/>
          <w:szCs w:val="26"/>
        </w:rPr>
        <w:t xml:space="preserve"> prossimi periodi invernali</w:t>
      </w:r>
      <w:r w:rsidR="00C86AB1" w:rsidRPr="00A16445">
        <w:rPr>
          <w:bCs/>
          <w:sz w:val="26"/>
          <w:szCs w:val="26"/>
        </w:rPr>
        <w:t xml:space="preserve">, oltre le misure sopra descritte </w:t>
      </w:r>
      <w:r w:rsidR="00C86AB1" w:rsidRPr="00A16445">
        <w:rPr>
          <w:b/>
          <w:bCs/>
          <w:sz w:val="26"/>
          <w:szCs w:val="26"/>
        </w:rPr>
        <w:t>si potrebbe</w:t>
      </w:r>
      <w:r w:rsidR="00D820E5" w:rsidRPr="00A16445">
        <w:rPr>
          <w:b/>
          <w:bCs/>
          <w:sz w:val="26"/>
          <w:szCs w:val="26"/>
        </w:rPr>
        <w:t xml:space="preserve"> inoltre</w:t>
      </w:r>
      <w:r w:rsidR="00C86AB1" w:rsidRPr="00A16445">
        <w:rPr>
          <w:b/>
          <w:bCs/>
          <w:sz w:val="26"/>
          <w:szCs w:val="26"/>
        </w:rPr>
        <w:t xml:space="preserve"> intervenire anche con:</w:t>
      </w:r>
    </w:p>
    <w:p w14:paraId="0E07274E" w14:textId="185499F2" w:rsidR="004E043C" w:rsidRPr="002C7337" w:rsidRDefault="00A05D37" w:rsidP="00892B1B">
      <w:pPr>
        <w:pStyle w:val="Default"/>
        <w:numPr>
          <w:ilvl w:val="0"/>
          <w:numId w:val="1"/>
        </w:numPr>
        <w:spacing w:after="120"/>
        <w:rPr>
          <w:sz w:val="26"/>
          <w:szCs w:val="26"/>
        </w:rPr>
      </w:pPr>
      <w:r w:rsidRPr="002C7337">
        <w:rPr>
          <w:b/>
          <w:bCs/>
          <w:sz w:val="26"/>
          <w:szCs w:val="26"/>
        </w:rPr>
        <w:t>Misure di cont</w:t>
      </w:r>
      <w:r w:rsidR="002D6D3B" w:rsidRPr="002C7337">
        <w:rPr>
          <w:b/>
          <w:bCs/>
          <w:sz w:val="26"/>
          <w:szCs w:val="26"/>
        </w:rPr>
        <w:t xml:space="preserve">rollo </w:t>
      </w:r>
      <w:r w:rsidRPr="002C7337">
        <w:rPr>
          <w:b/>
          <w:bCs/>
          <w:sz w:val="26"/>
          <w:szCs w:val="26"/>
        </w:rPr>
        <w:t>della domanda</w:t>
      </w:r>
      <w:r w:rsidR="006C6340" w:rsidRPr="002C7337">
        <w:rPr>
          <w:b/>
          <w:bCs/>
          <w:sz w:val="26"/>
          <w:szCs w:val="26"/>
        </w:rPr>
        <w:t xml:space="preserve"> </w:t>
      </w:r>
      <w:r w:rsidR="006C6340" w:rsidRPr="002C7337">
        <w:rPr>
          <w:sz w:val="26"/>
          <w:szCs w:val="26"/>
        </w:rPr>
        <w:t xml:space="preserve">e </w:t>
      </w:r>
      <w:r w:rsidR="00D820E5" w:rsidRPr="002C7337">
        <w:rPr>
          <w:sz w:val="26"/>
          <w:szCs w:val="26"/>
        </w:rPr>
        <w:t xml:space="preserve">di </w:t>
      </w:r>
      <w:r w:rsidR="006C6340" w:rsidRPr="002C7337">
        <w:rPr>
          <w:sz w:val="26"/>
          <w:szCs w:val="26"/>
        </w:rPr>
        <w:t xml:space="preserve">accelerazione </w:t>
      </w:r>
      <w:r w:rsidR="006C6340" w:rsidRPr="002C7337">
        <w:rPr>
          <w:b/>
          <w:bCs/>
          <w:sz w:val="26"/>
          <w:szCs w:val="26"/>
        </w:rPr>
        <w:t>dell’efficien</w:t>
      </w:r>
      <w:r w:rsidR="00D820E5" w:rsidRPr="002C7337">
        <w:rPr>
          <w:b/>
          <w:bCs/>
          <w:sz w:val="26"/>
          <w:szCs w:val="26"/>
        </w:rPr>
        <w:t>tamento</w:t>
      </w:r>
      <w:r w:rsidR="006C6340" w:rsidRPr="002C7337">
        <w:rPr>
          <w:b/>
          <w:bCs/>
          <w:sz w:val="26"/>
          <w:szCs w:val="26"/>
        </w:rPr>
        <w:t xml:space="preserve"> energetic</w:t>
      </w:r>
      <w:r w:rsidR="00A07553">
        <w:rPr>
          <w:b/>
          <w:bCs/>
          <w:sz w:val="26"/>
          <w:szCs w:val="26"/>
        </w:rPr>
        <w:t>o</w:t>
      </w:r>
      <w:r w:rsidRPr="002C7337">
        <w:rPr>
          <w:b/>
          <w:bCs/>
          <w:sz w:val="26"/>
          <w:szCs w:val="26"/>
        </w:rPr>
        <w:t xml:space="preserve">. </w:t>
      </w:r>
      <w:r w:rsidRPr="002C7337">
        <w:rPr>
          <w:sz w:val="26"/>
          <w:szCs w:val="26"/>
        </w:rPr>
        <w:t>In particolare, sono ipotizzabili misure di flessibilità sui consumi di gas (e.g. interrompibilità nel settore industriale</w:t>
      </w:r>
      <w:r w:rsidR="0023200F" w:rsidRPr="002C7337">
        <w:rPr>
          <w:sz w:val="26"/>
          <w:szCs w:val="26"/>
        </w:rPr>
        <w:t>, che però può agire per brevi periodi settimanali in caso di picchi della domanda</w:t>
      </w:r>
      <w:r w:rsidRPr="002C7337">
        <w:rPr>
          <w:sz w:val="26"/>
          <w:szCs w:val="26"/>
        </w:rPr>
        <w:t>) e sui consumi di gas del settore termoelettrico (dove pure esistono misure di riduzione del carico in modo controllato) e misure di contenimento dei consumi negli altri settori</w:t>
      </w:r>
      <w:r w:rsidR="0023200F" w:rsidRPr="002C7337">
        <w:rPr>
          <w:sz w:val="26"/>
          <w:szCs w:val="26"/>
        </w:rPr>
        <w:t xml:space="preserve">. </w:t>
      </w:r>
    </w:p>
    <w:p w14:paraId="72B71F4D" w14:textId="01178AF9" w:rsidR="00C8776D" w:rsidRPr="002C7337" w:rsidRDefault="00C8776D" w:rsidP="00892B1B">
      <w:pPr>
        <w:pStyle w:val="Default"/>
        <w:numPr>
          <w:ilvl w:val="0"/>
          <w:numId w:val="1"/>
        </w:numPr>
        <w:spacing w:after="120"/>
        <w:rPr>
          <w:sz w:val="26"/>
          <w:szCs w:val="26"/>
        </w:rPr>
      </w:pPr>
      <w:r w:rsidRPr="002C7337">
        <w:rPr>
          <w:b/>
          <w:bCs/>
          <w:sz w:val="26"/>
          <w:szCs w:val="26"/>
        </w:rPr>
        <w:t xml:space="preserve">Incremento importazioni di energia elettrica </w:t>
      </w:r>
      <w:r w:rsidRPr="002C7337">
        <w:rPr>
          <w:sz w:val="26"/>
          <w:szCs w:val="26"/>
        </w:rPr>
        <w:t>dal Nord Europa, per ridurre il consumo di gas del parco termoelettrico italian</w:t>
      </w:r>
      <w:r w:rsidR="00D1182E" w:rsidRPr="002C7337">
        <w:rPr>
          <w:sz w:val="26"/>
          <w:szCs w:val="26"/>
        </w:rPr>
        <w:t>o</w:t>
      </w:r>
      <w:r w:rsidR="002B6533" w:rsidRPr="002C7337">
        <w:rPr>
          <w:sz w:val="26"/>
          <w:szCs w:val="26"/>
        </w:rPr>
        <w:t>.</w:t>
      </w:r>
    </w:p>
    <w:p w14:paraId="696E2196" w14:textId="77777777" w:rsidR="003473A3" w:rsidRPr="002C7337" w:rsidRDefault="003473A3" w:rsidP="002C7337">
      <w:pPr>
        <w:pStyle w:val="Default"/>
        <w:spacing w:after="120"/>
        <w:rPr>
          <w:sz w:val="26"/>
          <w:szCs w:val="26"/>
        </w:rPr>
      </w:pPr>
    </w:p>
    <w:p w14:paraId="0D417833" w14:textId="3C0840A1" w:rsidR="00EA6B00" w:rsidRPr="002C7337" w:rsidRDefault="00EA6B00" w:rsidP="00892B1B">
      <w:pPr>
        <w:pStyle w:val="Paragrafoelenco"/>
        <w:numPr>
          <w:ilvl w:val="0"/>
          <w:numId w:val="12"/>
        </w:numPr>
        <w:spacing w:after="120"/>
        <w:rPr>
          <w:b/>
          <w:bCs/>
          <w:sz w:val="26"/>
          <w:szCs w:val="26"/>
        </w:rPr>
      </w:pPr>
      <w:r w:rsidRPr="002C7337">
        <w:rPr>
          <w:b/>
          <w:bCs/>
          <w:sz w:val="26"/>
          <w:szCs w:val="26"/>
        </w:rPr>
        <w:t>Possibili misure strutturali per eliminare la dipendenza di importazioni dalla Russia</w:t>
      </w:r>
    </w:p>
    <w:p w14:paraId="23AD06EF" w14:textId="7428E7EE" w:rsidR="00EA6B00" w:rsidRPr="002C7337" w:rsidRDefault="00D16841" w:rsidP="002C7337">
      <w:pPr>
        <w:pStyle w:val="Default"/>
        <w:spacing w:after="120"/>
        <w:rPr>
          <w:sz w:val="26"/>
          <w:szCs w:val="26"/>
        </w:rPr>
      </w:pPr>
      <w:r>
        <w:rPr>
          <w:sz w:val="26"/>
          <w:szCs w:val="26"/>
        </w:rPr>
        <w:t>I</w:t>
      </w:r>
      <w:r w:rsidR="00D820E5" w:rsidRPr="002C7337">
        <w:rPr>
          <w:sz w:val="26"/>
          <w:szCs w:val="26"/>
        </w:rPr>
        <w:t xml:space="preserve">l Governo ha avviato una riflessione su </w:t>
      </w:r>
      <w:r w:rsidR="00EA6B00" w:rsidRPr="002C7337">
        <w:rPr>
          <w:sz w:val="26"/>
          <w:szCs w:val="26"/>
        </w:rPr>
        <w:t xml:space="preserve">misure </w:t>
      </w:r>
      <w:r w:rsidR="004E043C" w:rsidRPr="002C7337">
        <w:rPr>
          <w:sz w:val="26"/>
          <w:szCs w:val="26"/>
        </w:rPr>
        <w:t>strutturali per eliminare la</w:t>
      </w:r>
      <w:r w:rsidR="00EA6B00" w:rsidRPr="002C7337">
        <w:rPr>
          <w:sz w:val="26"/>
          <w:szCs w:val="26"/>
        </w:rPr>
        <w:t xml:space="preserve"> dipendenza </w:t>
      </w:r>
      <w:r w:rsidR="004E043C" w:rsidRPr="002C7337">
        <w:rPr>
          <w:sz w:val="26"/>
          <w:szCs w:val="26"/>
        </w:rPr>
        <w:t>di importazioni dalla Russia,</w:t>
      </w:r>
      <w:r w:rsidR="000461D5" w:rsidRPr="002C7337">
        <w:rPr>
          <w:sz w:val="26"/>
          <w:szCs w:val="26"/>
        </w:rPr>
        <w:t xml:space="preserve"> in linea con le proposte del pacchetto europeo in corso di </w:t>
      </w:r>
      <w:r w:rsidR="000461D5" w:rsidRPr="00892B1B">
        <w:rPr>
          <w:sz w:val="26"/>
          <w:szCs w:val="26"/>
        </w:rPr>
        <w:t>finalizzazione ‘</w:t>
      </w:r>
      <w:r w:rsidR="000461D5" w:rsidRPr="00892B1B">
        <w:rPr>
          <w:i/>
          <w:iCs/>
          <w:sz w:val="26"/>
          <w:szCs w:val="26"/>
        </w:rPr>
        <w:t>REPowerEU: Joint European Action for more affordable, secure and sustainable energy</w:t>
      </w:r>
      <w:r w:rsidR="000461D5" w:rsidRPr="00892B1B">
        <w:rPr>
          <w:sz w:val="26"/>
          <w:szCs w:val="26"/>
        </w:rPr>
        <w:t>’</w:t>
      </w:r>
      <w:r w:rsidR="004E043C" w:rsidRPr="00892B1B">
        <w:rPr>
          <w:sz w:val="26"/>
          <w:szCs w:val="26"/>
        </w:rPr>
        <w:t xml:space="preserve"> </w:t>
      </w:r>
      <w:r w:rsidR="00D820E5" w:rsidRPr="00892B1B">
        <w:rPr>
          <w:sz w:val="26"/>
          <w:szCs w:val="26"/>
        </w:rPr>
        <w:t xml:space="preserve">che </w:t>
      </w:r>
      <w:r w:rsidR="004E043C" w:rsidRPr="00892B1B">
        <w:rPr>
          <w:sz w:val="26"/>
          <w:szCs w:val="26"/>
        </w:rPr>
        <w:t>includono</w:t>
      </w:r>
      <w:r w:rsidR="00EA6B00" w:rsidRPr="00892B1B">
        <w:rPr>
          <w:sz w:val="26"/>
          <w:szCs w:val="26"/>
        </w:rPr>
        <w:t>:</w:t>
      </w:r>
    </w:p>
    <w:p w14:paraId="739A9D83" w14:textId="70453829" w:rsidR="00C56851" w:rsidRPr="002C7337" w:rsidRDefault="00C56851" w:rsidP="002C7337">
      <w:pPr>
        <w:pStyle w:val="Default"/>
        <w:spacing w:after="120"/>
        <w:rPr>
          <w:sz w:val="26"/>
          <w:szCs w:val="26"/>
        </w:rPr>
      </w:pPr>
    </w:p>
    <w:p w14:paraId="360E6CBE" w14:textId="68D089E0" w:rsidR="002D6D3B" w:rsidRDefault="00A05D37" w:rsidP="00892B1B">
      <w:pPr>
        <w:pStyle w:val="Default"/>
        <w:numPr>
          <w:ilvl w:val="0"/>
          <w:numId w:val="10"/>
        </w:numPr>
        <w:spacing w:after="120"/>
        <w:rPr>
          <w:sz w:val="26"/>
          <w:szCs w:val="26"/>
        </w:rPr>
      </w:pPr>
      <w:r w:rsidRPr="00D32660">
        <w:rPr>
          <w:b/>
          <w:bCs/>
          <w:sz w:val="26"/>
          <w:szCs w:val="26"/>
        </w:rPr>
        <w:t xml:space="preserve">Nuova capacità di rigassificazione </w:t>
      </w:r>
      <w:r w:rsidR="009A5DA5" w:rsidRPr="00D32660">
        <w:rPr>
          <w:b/>
          <w:bCs/>
          <w:sz w:val="26"/>
          <w:szCs w:val="26"/>
        </w:rPr>
        <w:t xml:space="preserve">su unità </w:t>
      </w:r>
      <w:r w:rsidRPr="00D32660">
        <w:rPr>
          <w:b/>
          <w:bCs/>
          <w:sz w:val="26"/>
          <w:szCs w:val="26"/>
        </w:rPr>
        <w:t>galleggiant</w:t>
      </w:r>
      <w:r w:rsidR="009A5DA5" w:rsidRPr="00D32660">
        <w:rPr>
          <w:b/>
          <w:bCs/>
          <w:sz w:val="26"/>
          <w:szCs w:val="26"/>
        </w:rPr>
        <w:t>i ancorate in prossimità di porti, realizzabile</w:t>
      </w:r>
      <w:r w:rsidR="000254A6" w:rsidRPr="00D32660">
        <w:rPr>
          <w:b/>
          <w:bCs/>
          <w:sz w:val="26"/>
          <w:szCs w:val="26"/>
        </w:rPr>
        <w:t xml:space="preserve"> </w:t>
      </w:r>
      <w:r w:rsidR="00A20011" w:rsidRPr="00D32660">
        <w:rPr>
          <w:b/>
          <w:bCs/>
          <w:sz w:val="26"/>
          <w:szCs w:val="26"/>
        </w:rPr>
        <w:t xml:space="preserve">in </w:t>
      </w:r>
      <w:r w:rsidR="00562534" w:rsidRPr="00D32660">
        <w:rPr>
          <w:b/>
          <w:bCs/>
          <w:sz w:val="26"/>
          <w:szCs w:val="26"/>
        </w:rPr>
        <w:t>12-</w:t>
      </w:r>
      <w:r w:rsidR="00A20011" w:rsidRPr="00D32660">
        <w:rPr>
          <w:b/>
          <w:bCs/>
          <w:sz w:val="26"/>
          <w:szCs w:val="26"/>
        </w:rPr>
        <w:t>18 mesi</w:t>
      </w:r>
      <w:r w:rsidR="00562534" w:rsidRPr="00D32660">
        <w:rPr>
          <w:b/>
          <w:bCs/>
          <w:sz w:val="26"/>
          <w:szCs w:val="26"/>
        </w:rPr>
        <w:t xml:space="preserve"> </w:t>
      </w:r>
      <w:r w:rsidR="00562534" w:rsidRPr="00D32660">
        <w:rPr>
          <w:bCs/>
          <w:sz w:val="26"/>
          <w:szCs w:val="26"/>
        </w:rPr>
        <w:t>(dall’ottenimento delle autorizzazioni)</w:t>
      </w:r>
      <w:r w:rsidR="00A20011" w:rsidRPr="00D32660">
        <w:rPr>
          <w:b/>
          <w:bCs/>
          <w:sz w:val="26"/>
          <w:szCs w:val="26"/>
        </w:rPr>
        <w:t xml:space="preserve"> </w:t>
      </w:r>
      <w:r w:rsidR="00A20011" w:rsidRPr="00D32660">
        <w:rPr>
          <w:sz w:val="26"/>
          <w:szCs w:val="26"/>
        </w:rPr>
        <w:t xml:space="preserve">per circa </w:t>
      </w:r>
      <w:r w:rsidR="005D7AF4" w:rsidRPr="00D32660">
        <w:rPr>
          <w:b/>
          <w:bCs/>
          <w:sz w:val="26"/>
          <w:szCs w:val="26"/>
        </w:rPr>
        <w:t>16-</w:t>
      </w:r>
      <w:r w:rsidR="00C621B7" w:rsidRPr="00D32660">
        <w:rPr>
          <w:b/>
          <w:bCs/>
          <w:sz w:val="26"/>
          <w:szCs w:val="26"/>
        </w:rPr>
        <w:t>24</w:t>
      </w:r>
      <w:r w:rsidR="00A20011" w:rsidRPr="00D32660">
        <w:rPr>
          <w:b/>
          <w:bCs/>
          <w:sz w:val="26"/>
          <w:szCs w:val="26"/>
        </w:rPr>
        <w:t xml:space="preserve"> bcm</w:t>
      </w:r>
      <w:r w:rsidR="006C6340" w:rsidRPr="00D32660">
        <w:rPr>
          <w:sz w:val="26"/>
          <w:szCs w:val="26"/>
        </w:rPr>
        <w:t xml:space="preserve">. </w:t>
      </w:r>
      <w:r w:rsidR="002D6D3B" w:rsidRPr="00D32660">
        <w:rPr>
          <w:sz w:val="26"/>
          <w:szCs w:val="26"/>
        </w:rPr>
        <w:t xml:space="preserve">L’aspetto critico adesso è arrivare in tempo a contrattualizzare le poche navi esistenti in grado di svolgere questo servizio, verso cui si sono diretti operatori e Governi di vari Paesi. </w:t>
      </w:r>
      <w:r w:rsidR="00D16841">
        <w:rPr>
          <w:sz w:val="26"/>
          <w:szCs w:val="26"/>
        </w:rPr>
        <w:t>I</w:t>
      </w:r>
      <w:r w:rsidR="002D6D3B" w:rsidRPr="00D32660">
        <w:rPr>
          <w:sz w:val="26"/>
          <w:szCs w:val="26"/>
        </w:rPr>
        <w:t xml:space="preserve">l MITE ha </w:t>
      </w:r>
      <w:r w:rsidR="00D16841">
        <w:rPr>
          <w:sz w:val="26"/>
          <w:szCs w:val="26"/>
        </w:rPr>
        <w:t>già dato</w:t>
      </w:r>
      <w:r w:rsidR="002D6D3B" w:rsidRPr="00D32660">
        <w:rPr>
          <w:sz w:val="26"/>
          <w:szCs w:val="26"/>
        </w:rPr>
        <w:t xml:space="preserve"> a Snam </w:t>
      </w:r>
      <w:r w:rsidR="00D16841">
        <w:rPr>
          <w:sz w:val="26"/>
          <w:szCs w:val="26"/>
        </w:rPr>
        <w:t>l’</w:t>
      </w:r>
      <w:r w:rsidR="002D6286" w:rsidRPr="00D32660">
        <w:rPr>
          <w:sz w:val="26"/>
          <w:szCs w:val="26"/>
        </w:rPr>
        <w:t xml:space="preserve"> indirizzo </w:t>
      </w:r>
      <w:r w:rsidR="00D16841">
        <w:rPr>
          <w:sz w:val="26"/>
          <w:szCs w:val="26"/>
        </w:rPr>
        <w:t>per la negoziazione al</w:t>
      </w:r>
      <w:r w:rsidR="002D6D3B" w:rsidRPr="00D32660">
        <w:rPr>
          <w:sz w:val="26"/>
          <w:szCs w:val="26"/>
        </w:rPr>
        <w:t xml:space="preserve">l’acquisto di una FSRU e al noleggio di una seconda unità, infrastrutture che saranno oggetto di un prossimo DPCM di identificazione come impianti strategici. </w:t>
      </w:r>
    </w:p>
    <w:p w14:paraId="1B7524EE" w14:textId="396E3129" w:rsidR="002D6286" w:rsidRDefault="002D6286" w:rsidP="00892B1B">
      <w:pPr>
        <w:pStyle w:val="Default"/>
        <w:numPr>
          <w:ilvl w:val="0"/>
          <w:numId w:val="10"/>
        </w:numPr>
        <w:rPr>
          <w:sz w:val="26"/>
          <w:szCs w:val="26"/>
        </w:rPr>
      </w:pPr>
      <w:r w:rsidRPr="002D6286">
        <w:rPr>
          <w:b/>
          <w:bCs/>
          <w:sz w:val="26"/>
          <w:szCs w:val="26"/>
        </w:rPr>
        <w:t xml:space="preserve">Sviluppo progetti rinnovabili </w:t>
      </w:r>
      <w:r w:rsidRPr="002D6286">
        <w:rPr>
          <w:b/>
          <w:bCs/>
          <w:i/>
          <w:iCs/>
          <w:sz w:val="26"/>
          <w:szCs w:val="26"/>
        </w:rPr>
        <w:t>offshore</w:t>
      </w:r>
      <w:r w:rsidRPr="002D6286">
        <w:rPr>
          <w:b/>
          <w:bCs/>
          <w:sz w:val="26"/>
          <w:szCs w:val="26"/>
        </w:rPr>
        <w:t xml:space="preserve"> e </w:t>
      </w:r>
      <w:r w:rsidRPr="002D6286">
        <w:rPr>
          <w:b/>
          <w:bCs/>
          <w:i/>
          <w:iCs/>
          <w:sz w:val="26"/>
          <w:szCs w:val="26"/>
        </w:rPr>
        <w:t>onshore</w:t>
      </w:r>
      <w:r w:rsidRPr="002D6286">
        <w:rPr>
          <w:b/>
          <w:bCs/>
          <w:sz w:val="26"/>
          <w:szCs w:val="26"/>
        </w:rPr>
        <w:t>.</w:t>
      </w:r>
      <w:r w:rsidRPr="002D6286">
        <w:rPr>
          <w:sz w:val="26"/>
          <w:szCs w:val="26"/>
        </w:rPr>
        <w:t xml:space="preserve"> In particolare, considerando gli oltre 40 GW di richieste di connessione per progetti </w:t>
      </w:r>
      <w:r w:rsidRPr="002D6286">
        <w:rPr>
          <w:i/>
          <w:iCs/>
          <w:sz w:val="26"/>
          <w:szCs w:val="26"/>
        </w:rPr>
        <w:t>offshore</w:t>
      </w:r>
      <w:r w:rsidRPr="002D6286">
        <w:rPr>
          <w:sz w:val="26"/>
          <w:szCs w:val="26"/>
        </w:rPr>
        <w:t xml:space="preserve"> e i numerosi interventi </w:t>
      </w:r>
      <w:r w:rsidR="00D16841">
        <w:rPr>
          <w:sz w:val="26"/>
          <w:szCs w:val="26"/>
        </w:rPr>
        <w:t xml:space="preserve">relativi alla </w:t>
      </w:r>
      <w:r w:rsidR="00D16841">
        <w:rPr>
          <w:b/>
          <w:bCs/>
          <w:sz w:val="26"/>
          <w:szCs w:val="26"/>
        </w:rPr>
        <w:t xml:space="preserve">liberalizzazione del fotovoltaico per autoconsumo sino a 200 kW, e </w:t>
      </w:r>
      <w:r w:rsidR="00D16841">
        <w:rPr>
          <w:b/>
          <w:bCs/>
          <w:sz w:val="26"/>
          <w:szCs w:val="26"/>
        </w:rPr>
        <w:lastRenderedPageBreak/>
        <w:t>all’agrofotovoltaico</w:t>
      </w:r>
      <w:r w:rsidR="00D16841" w:rsidRPr="002D6286">
        <w:rPr>
          <w:sz w:val="26"/>
          <w:szCs w:val="26"/>
        </w:rPr>
        <w:t xml:space="preserve"> </w:t>
      </w:r>
      <w:r w:rsidR="00D16841">
        <w:rPr>
          <w:sz w:val="26"/>
          <w:szCs w:val="26"/>
        </w:rPr>
        <w:t xml:space="preserve">si prevede un risparmio annuo di circa </w:t>
      </w:r>
      <w:r w:rsidRPr="002D6286">
        <w:rPr>
          <w:sz w:val="26"/>
          <w:szCs w:val="26"/>
        </w:rPr>
        <w:t xml:space="preserve"> 3 bcm di gas naturale</w:t>
      </w:r>
      <w:r w:rsidR="00D16841">
        <w:rPr>
          <w:sz w:val="26"/>
          <w:szCs w:val="26"/>
        </w:rPr>
        <w:t xml:space="preserve"> al’anno</w:t>
      </w:r>
      <w:r w:rsidRPr="002D6286">
        <w:rPr>
          <w:sz w:val="26"/>
          <w:szCs w:val="26"/>
        </w:rPr>
        <w:t>.</w:t>
      </w:r>
    </w:p>
    <w:p w14:paraId="163D1015" w14:textId="77777777" w:rsidR="00D16841" w:rsidRPr="002D6286" w:rsidRDefault="00D16841" w:rsidP="00D16841">
      <w:pPr>
        <w:pStyle w:val="Default"/>
        <w:ind w:left="360"/>
        <w:rPr>
          <w:sz w:val="26"/>
          <w:szCs w:val="26"/>
        </w:rPr>
      </w:pPr>
    </w:p>
    <w:p w14:paraId="262F3064" w14:textId="13E50312" w:rsidR="002D6286" w:rsidRDefault="002D6286" w:rsidP="00892B1B">
      <w:pPr>
        <w:pStyle w:val="Default"/>
        <w:numPr>
          <w:ilvl w:val="0"/>
          <w:numId w:val="10"/>
        </w:numPr>
        <w:spacing w:after="120"/>
        <w:rPr>
          <w:sz w:val="26"/>
          <w:szCs w:val="26"/>
        </w:rPr>
      </w:pPr>
      <w:r w:rsidRPr="002D6286">
        <w:rPr>
          <w:b/>
          <w:bCs/>
          <w:sz w:val="26"/>
          <w:szCs w:val="26"/>
        </w:rPr>
        <w:t>Sviluppo del biometano</w:t>
      </w:r>
      <w:r w:rsidRPr="002D6286">
        <w:rPr>
          <w:sz w:val="26"/>
          <w:szCs w:val="26"/>
        </w:rPr>
        <w:t xml:space="preserve">, con potenziale di circa 2,5 bcm </w:t>
      </w:r>
      <w:r w:rsidR="00D16841">
        <w:rPr>
          <w:sz w:val="26"/>
          <w:szCs w:val="26"/>
        </w:rPr>
        <w:t xml:space="preserve">di risparmio </w:t>
      </w:r>
      <w:r w:rsidRPr="002D6286">
        <w:rPr>
          <w:sz w:val="26"/>
          <w:szCs w:val="26"/>
        </w:rPr>
        <w:t>al 2026.</w:t>
      </w:r>
    </w:p>
    <w:p w14:paraId="2640D029" w14:textId="77777777" w:rsidR="002D6286" w:rsidRDefault="002D6286" w:rsidP="00892B1B">
      <w:pPr>
        <w:pStyle w:val="Default"/>
        <w:numPr>
          <w:ilvl w:val="0"/>
          <w:numId w:val="10"/>
        </w:numPr>
        <w:spacing w:after="120"/>
        <w:rPr>
          <w:sz w:val="26"/>
          <w:szCs w:val="26"/>
        </w:rPr>
      </w:pPr>
      <w:r w:rsidRPr="002D6286">
        <w:rPr>
          <w:sz w:val="26"/>
          <w:szCs w:val="26"/>
        </w:rPr>
        <w:t>I</w:t>
      </w:r>
      <w:r w:rsidRPr="002D6286">
        <w:rPr>
          <w:b/>
          <w:bCs/>
          <w:sz w:val="26"/>
          <w:szCs w:val="26"/>
        </w:rPr>
        <w:t>ncremento della produzione nazionale di 2,2 miliardi di metri cubi</w:t>
      </w:r>
      <w:r w:rsidRPr="002D6286">
        <w:rPr>
          <w:sz w:val="26"/>
          <w:szCs w:val="26"/>
        </w:rPr>
        <w:t xml:space="preserve">, su aree quali Cassiopea, Canale di Sicilia, Marche, consentendo di arrivare ad una produzione nazionale </w:t>
      </w:r>
      <w:r w:rsidRPr="002D6286">
        <w:rPr>
          <w:b/>
          <w:bCs/>
          <w:sz w:val="26"/>
          <w:szCs w:val="26"/>
        </w:rPr>
        <w:t>fino a circa 5 miliardi</w:t>
      </w:r>
      <w:r w:rsidRPr="002D6286">
        <w:rPr>
          <w:sz w:val="26"/>
          <w:szCs w:val="26"/>
        </w:rPr>
        <w:t xml:space="preserve"> di metri cubi, e introduzione di </w:t>
      </w:r>
      <w:r w:rsidRPr="002D6286">
        <w:rPr>
          <w:b/>
          <w:bCs/>
          <w:sz w:val="26"/>
          <w:szCs w:val="26"/>
        </w:rPr>
        <w:t>meccanismi di ritiro</w:t>
      </w:r>
      <w:r w:rsidRPr="002D6286">
        <w:rPr>
          <w:sz w:val="26"/>
          <w:szCs w:val="26"/>
        </w:rPr>
        <w:t xml:space="preserve"> della produzione nazionale da parte del gruppo GSE a prezzi </w:t>
      </w:r>
      <w:r w:rsidRPr="002D6286">
        <w:rPr>
          <w:b/>
          <w:bCs/>
          <w:sz w:val="26"/>
          <w:szCs w:val="26"/>
        </w:rPr>
        <w:t>equi</w:t>
      </w:r>
      <w:r w:rsidRPr="002D6286">
        <w:rPr>
          <w:sz w:val="26"/>
          <w:szCs w:val="26"/>
        </w:rPr>
        <w:t xml:space="preserve">, da assegnare in primis ad aziende energivore e piccole medie imprese. </w:t>
      </w:r>
    </w:p>
    <w:p w14:paraId="7FB84D61" w14:textId="548FA885" w:rsidR="002D6286" w:rsidRPr="002D6286" w:rsidRDefault="002D6286" w:rsidP="00892B1B">
      <w:pPr>
        <w:pStyle w:val="Default"/>
        <w:numPr>
          <w:ilvl w:val="0"/>
          <w:numId w:val="10"/>
        </w:numPr>
        <w:spacing w:after="120"/>
        <w:rPr>
          <w:sz w:val="26"/>
          <w:szCs w:val="26"/>
        </w:rPr>
      </w:pPr>
      <w:r w:rsidRPr="002D6286">
        <w:rPr>
          <w:b/>
          <w:bCs/>
          <w:sz w:val="26"/>
          <w:szCs w:val="26"/>
        </w:rPr>
        <w:t>Raddoppio capacità TAP</w:t>
      </w:r>
      <w:r w:rsidRPr="002D6286">
        <w:rPr>
          <w:sz w:val="26"/>
          <w:szCs w:val="26"/>
        </w:rPr>
        <w:t xml:space="preserve">. In particolare, è possibile incrementare le importazioni via TAP per circa </w:t>
      </w:r>
      <w:r w:rsidRPr="002D6286">
        <w:rPr>
          <w:b/>
          <w:bCs/>
          <w:sz w:val="26"/>
          <w:szCs w:val="26"/>
        </w:rPr>
        <w:t>10 bcm/ anno</w:t>
      </w:r>
      <w:r w:rsidRPr="002D6286">
        <w:rPr>
          <w:sz w:val="26"/>
          <w:szCs w:val="26"/>
        </w:rPr>
        <w:t>. Per far questo, sono necessari circa 45 mesi per incremento dei primi 2 bcm (tramite interventi in Albania) e circa 65 mesi per l’incremento di ulteriori 8 bcm (ulteriori interventi in Albania e Grecia e alcuni interventi sulla rete italiana). Ovviamente prerequisito è un accordo di fornitura di gas di lungo periodo con il Governo azero.</w:t>
      </w:r>
    </w:p>
    <w:p w14:paraId="18F5AC3E" w14:textId="77777777" w:rsidR="00DF084D" w:rsidRPr="002C7337" w:rsidRDefault="00DF084D" w:rsidP="002C7337">
      <w:pPr>
        <w:pStyle w:val="Default"/>
        <w:spacing w:after="120"/>
        <w:rPr>
          <w:sz w:val="26"/>
          <w:szCs w:val="26"/>
        </w:rPr>
      </w:pPr>
    </w:p>
    <w:p w14:paraId="3C9CF9DC" w14:textId="77777777" w:rsidR="00A07553" w:rsidRPr="00D32660" w:rsidRDefault="00A07553" w:rsidP="00892B1B">
      <w:pPr>
        <w:pStyle w:val="Default"/>
        <w:numPr>
          <w:ilvl w:val="0"/>
          <w:numId w:val="12"/>
        </w:numPr>
        <w:spacing w:after="120"/>
        <w:rPr>
          <w:b/>
          <w:sz w:val="26"/>
          <w:szCs w:val="26"/>
        </w:rPr>
      </w:pPr>
      <w:bookmarkStart w:id="5" w:name="_Hlk98263821"/>
      <w:r w:rsidRPr="00D32660">
        <w:rPr>
          <w:b/>
          <w:sz w:val="26"/>
          <w:szCs w:val="26"/>
        </w:rPr>
        <w:t>I Costi dell’energia</w:t>
      </w:r>
    </w:p>
    <w:p w14:paraId="6D2A3201" w14:textId="77777777" w:rsidR="00A07553" w:rsidRPr="002C7337" w:rsidRDefault="00A07553" w:rsidP="00A07553">
      <w:pPr>
        <w:pStyle w:val="Default"/>
        <w:spacing w:after="120"/>
        <w:rPr>
          <w:sz w:val="26"/>
          <w:szCs w:val="26"/>
        </w:rPr>
      </w:pPr>
      <w:r w:rsidRPr="002C7337">
        <w:rPr>
          <w:sz w:val="26"/>
          <w:szCs w:val="26"/>
        </w:rPr>
        <w:t xml:space="preserve">La tensione sui mercati ha anche determinato, dopo la forte diminuzione avvenuta nel corso del 2020, un </w:t>
      </w:r>
      <w:r w:rsidRPr="002C7337">
        <w:rPr>
          <w:b/>
          <w:bCs/>
          <w:sz w:val="26"/>
          <w:szCs w:val="26"/>
        </w:rPr>
        <w:t>vertiginoso</w:t>
      </w:r>
      <w:r w:rsidRPr="002C7337">
        <w:rPr>
          <w:sz w:val="26"/>
          <w:szCs w:val="26"/>
        </w:rPr>
        <w:t xml:space="preserve"> </w:t>
      </w:r>
      <w:r w:rsidRPr="002C7337">
        <w:rPr>
          <w:b/>
          <w:sz w:val="26"/>
          <w:szCs w:val="26"/>
        </w:rPr>
        <w:t>aumento dei costi dell’energia</w:t>
      </w:r>
      <w:r w:rsidRPr="002C7337">
        <w:rPr>
          <w:sz w:val="26"/>
          <w:szCs w:val="26"/>
        </w:rPr>
        <w:t>:</w:t>
      </w:r>
    </w:p>
    <w:p w14:paraId="06CD3C57" w14:textId="77777777" w:rsidR="00A07553" w:rsidRPr="002C7337" w:rsidRDefault="00A07553" w:rsidP="00892B1B">
      <w:pPr>
        <w:pStyle w:val="Default"/>
        <w:numPr>
          <w:ilvl w:val="0"/>
          <w:numId w:val="5"/>
        </w:numPr>
        <w:spacing w:after="160"/>
        <w:rPr>
          <w:sz w:val="26"/>
          <w:szCs w:val="26"/>
        </w:rPr>
      </w:pPr>
      <w:r w:rsidRPr="002C7337">
        <w:rPr>
          <w:sz w:val="26"/>
          <w:szCs w:val="26"/>
        </w:rPr>
        <w:t xml:space="preserve">Per quanto riguarda il mercato del </w:t>
      </w:r>
      <w:r w:rsidRPr="002C7337">
        <w:rPr>
          <w:b/>
          <w:sz w:val="26"/>
          <w:szCs w:val="26"/>
        </w:rPr>
        <w:t>gas naturale</w:t>
      </w:r>
      <w:r w:rsidRPr="002C7337">
        <w:rPr>
          <w:sz w:val="26"/>
          <w:szCs w:val="26"/>
        </w:rPr>
        <w:t xml:space="preserve">, il prezzo al PSV (Punto di Scambio Virtuale del gas naturale in Italia) è passato dai circa 20 €/MWh (0,2 €/Smc) di gennaio 2021 fino ai circa 160 €/MWh (1,7 €/Smc) delle prime settimane di marzo, con un aumento di </w:t>
      </w:r>
      <w:r w:rsidRPr="002C7337">
        <w:rPr>
          <w:b/>
          <w:sz w:val="26"/>
          <w:szCs w:val="26"/>
        </w:rPr>
        <w:t xml:space="preserve">quasi 8 volte </w:t>
      </w:r>
      <w:r w:rsidRPr="002C7337">
        <w:rPr>
          <w:sz w:val="26"/>
          <w:szCs w:val="26"/>
        </w:rPr>
        <w:t>(e con punte giornaliere che hanno superato i valori record di 200 €/MWh nei mesi scorsi)</w:t>
      </w:r>
      <w:r w:rsidRPr="002C7337">
        <w:rPr>
          <w:b/>
          <w:sz w:val="26"/>
          <w:szCs w:val="26"/>
        </w:rPr>
        <w:t>. Solo adesso il prezzo si è ridotto a valori di poco superiori a 100 €/MWh</w:t>
      </w:r>
    </w:p>
    <w:p w14:paraId="0A907F58" w14:textId="77777777" w:rsidR="00A07553" w:rsidRPr="002C7337" w:rsidRDefault="00A07553" w:rsidP="00892B1B">
      <w:pPr>
        <w:pStyle w:val="Default"/>
        <w:numPr>
          <w:ilvl w:val="0"/>
          <w:numId w:val="5"/>
        </w:numPr>
        <w:spacing w:after="160"/>
        <w:rPr>
          <w:sz w:val="26"/>
          <w:szCs w:val="26"/>
        </w:rPr>
      </w:pPr>
      <w:r w:rsidRPr="002C7337">
        <w:rPr>
          <w:sz w:val="26"/>
          <w:szCs w:val="26"/>
        </w:rPr>
        <w:t>Per quanto riguarda i prezzi dell’</w:t>
      </w:r>
      <w:r w:rsidRPr="002C7337">
        <w:rPr>
          <w:b/>
          <w:sz w:val="26"/>
          <w:szCs w:val="26"/>
        </w:rPr>
        <w:t>energia elettrica</w:t>
      </w:r>
      <w:r w:rsidRPr="002C7337">
        <w:rPr>
          <w:sz w:val="26"/>
          <w:szCs w:val="26"/>
        </w:rPr>
        <w:t xml:space="preserve"> all’ingrosso, il PUN (Prezzo Unico Nazionale) ha registrato valori record: nelle ultime settimane si sono raggiunti i valori </w:t>
      </w:r>
      <w:r w:rsidRPr="002C7337">
        <w:rPr>
          <w:b/>
          <w:sz w:val="26"/>
          <w:szCs w:val="26"/>
        </w:rPr>
        <w:t>più elevati da quando la borsa italiana è stata costituita</w:t>
      </w:r>
      <w:r w:rsidRPr="002C7337">
        <w:rPr>
          <w:sz w:val="26"/>
          <w:szCs w:val="26"/>
        </w:rPr>
        <w:t xml:space="preserve">, superando 600 €/MWh. Negli ultimi giorni i valori si sono attestati intorno ai 300 €/MWh. Questo anche come diretta </w:t>
      </w:r>
      <w:r w:rsidRPr="002C7337">
        <w:rPr>
          <w:b/>
          <w:bCs/>
          <w:sz w:val="26"/>
          <w:szCs w:val="26"/>
        </w:rPr>
        <w:t>conseguenza dei prezzi del gas naturale</w:t>
      </w:r>
      <w:r w:rsidRPr="002C7337">
        <w:rPr>
          <w:sz w:val="26"/>
          <w:szCs w:val="26"/>
        </w:rPr>
        <w:t xml:space="preserve">, che determinano il </w:t>
      </w:r>
      <w:r w:rsidRPr="002C7337">
        <w:rPr>
          <w:b/>
          <w:bCs/>
          <w:sz w:val="26"/>
          <w:szCs w:val="26"/>
        </w:rPr>
        <w:t>costo marginale degli impianti di generazione elettrica a gas</w:t>
      </w:r>
      <w:r w:rsidRPr="002C7337">
        <w:rPr>
          <w:sz w:val="26"/>
          <w:szCs w:val="26"/>
        </w:rPr>
        <w:t>, i quali fissano il prezzo del mercato all’ingrosso nella maggior parte delle ore.</w:t>
      </w:r>
    </w:p>
    <w:p w14:paraId="066DE994" w14:textId="77777777" w:rsidR="00A07553" w:rsidRPr="002C7337" w:rsidRDefault="00A07553" w:rsidP="00892B1B">
      <w:pPr>
        <w:pStyle w:val="Default"/>
        <w:numPr>
          <w:ilvl w:val="0"/>
          <w:numId w:val="5"/>
        </w:numPr>
        <w:spacing w:after="120"/>
        <w:rPr>
          <w:sz w:val="26"/>
          <w:szCs w:val="26"/>
        </w:rPr>
      </w:pPr>
      <w:r w:rsidRPr="002C7337">
        <w:rPr>
          <w:sz w:val="26"/>
          <w:szCs w:val="26"/>
        </w:rPr>
        <w:t xml:space="preserve">Non si tratta di un fenomeno italiano, ma andamenti simili sono </w:t>
      </w:r>
      <w:r w:rsidRPr="002C7337">
        <w:rPr>
          <w:b/>
          <w:sz w:val="26"/>
          <w:szCs w:val="26"/>
        </w:rPr>
        <w:t>riscontrabili in altri Paesi europei</w:t>
      </w:r>
      <w:r w:rsidRPr="002C7337">
        <w:rPr>
          <w:sz w:val="26"/>
          <w:szCs w:val="26"/>
        </w:rPr>
        <w:t>, con incidenza diversa in funzione di specificità nazionali (e.g. mix di generazione, contratti di approvvigionamento).</w:t>
      </w:r>
    </w:p>
    <w:p w14:paraId="41A696A7" w14:textId="77777777" w:rsidR="00A07553" w:rsidRPr="002C7337" w:rsidRDefault="00A07553" w:rsidP="00A07553">
      <w:pPr>
        <w:pStyle w:val="Default"/>
        <w:spacing w:after="120"/>
        <w:rPr>
          <w:sz w:val="26"/>
          <w:szCs w:val="26"/>
        </w:rPr>
      </w:pPr>
    </w:p>
    <w:p w14:paraId="0138CD52" w14:textId="42AF3D70" w:rsidR="00CB7859" w:rsidRPr="009C72FB" w:rsidRDefault="00A07553" w:rsidP="00892B1B">
      <w:pPr>
        <w:pStyle w:val="Paragrafoelenco"/>
        <w:numPr>
          <w:ilvl w:val="0"/>
          <w:numId w:val="12"/>
        </w:numPr>
        <w:spacing w:after="120"/>
        <w:rPr>
          <w:b/>
          <w:bCs/>
          <w:sz w:val="26"/>
          <w:szCs w:val="26"/>
        </w:rPr>
      </w:pPr>
      <w:r>
        <w:rPr>
          <w:b/>
          <w:bCs/>
          <w:sz w:val="26"/>
          <w:szCs w:val="26"/>
        </w:rPr>
        <w:t>L</w:t>
      </w:r>
      <w:r w:rsidR="00CB7859" w:rsidRPr="009C72FB">
        <w:rPr>
          <w:b/>
          <w:bCs/>
          <w:sz w:val="26"/>
          <w:szCs w:val="26"/>
        </w:rPr>
        <w:t>’andamento dei prezzi di gas e carburanti </w:t>
      </w:r>
    </w:p>
    <w:p w14:paraId="7E12D847" w14:textId="77777777" w:rsidR="007D3CAF" w:rsidRDefault="009C72FB" w:rsidP="002C7337">
      <w:pPr>
        <w:spacing w:after="120"/>
        <w:rPr>
          <w:sz w:val="26"/>
          <w:szCs w:val="26"/>
        </w:rPr>
      </w:pPr>
      <w:r>
        <w:rPr>
          <w:sz w:val="26"/>
          <w:szCs w:val="26"/>
        </w:rPr>
        <w:t>Occorre, a questo punto, svolgere alcune considerazion</w:t>
      </w:r>
      <w:r w:rsidR="00C56114">
        <w:rPr>
          <w:sz w:val="26"/>
          <w:szCs w:val="26"/>
        </w:rPr>
        <w:t>i</w:t>
      </w:r>
      <w:r>
        <w:rPr>
          <w:sz w:val="26"/>
          <w:szCs w:val="26"/>
        </w:rPr>
        <w:t xml:space="preserve"> sull’andamento dei prezzi del gas e dei carburanti</w:t>
      </w:r>
      <w:r w:rsidR="000A28A4">
        <w:rPr>
          <w:sz w:val="26"/>
          <w:szCs w:val="26"/>
        </w:rPr>
        <w:t>, in attesa di poter disporre delle correzioni alle elaborazioni dell’ISTAT.</w:t>
      </w:r>
    </w:p>
    <w:p w14:paraId="00C8349F" w14:textId="55D74D39" w:rsidR="00A07553" w:rsidRDefault="007D3CAF" w:rsidP="002C7337">
      <w:pPr>
        <w:spacing w:after="120"/>
        <w:rPr>
          <w:sz w:val="26"/>
          <w:szCs w:val="26"/>
        </w:rPr>
      </w:pPr>
      <w:r>
        <w:rPr>
          <w:sz w:val="26"/>
          <w:szCs w:val="26"/>
        </w:rPr>
        <w:lastRenderedPageBreak/>
        <w:t>Con riferimento al costo del gas, i</w:t>
      </w:r>
      <w:r w:rsidR="000A28A4">
        <w:rPr>
          <w:sz w:val="26"/>
          <w:szCs w:val="26"/>
        </w:rPr>
        <w:t xml:space="preserve"> dati che </w:t>
      </w:r>
      <w:r>
        <w:rPr>
          <w:sz w:val="26"/>
          <w:szCs w:val="26"/>
        </w:rPr>
        <w:t xml:space="preserve">riporto a questa </w:t>
      </w:r>
      <w:r w:rsidR="000A28A4">
        <w:rPr>
          <w:sz w:val="26"/>
          <w:szCs w:val="26"/>
        </w:rPr>
        <w:t xml:space="preserve">Assemblea sono </w:t>
      </w:r>
      <w:r>
        <w:rPr>
          <w:sz w:val="26"/>
          <w:szCs w:val="26"/>
        </w:rPr>
        <w:t xml:space="preserve">quelli </w:t>
      </w:r>
      <w:r w:rsidR="000A28A4">
        <w:rPr>
          <w:sz w:val="26"/>
          <w:szCs w:val="26"/>
        </w:rPr>
        <w:t>comunicati dall’Agenzia dei monopoli</w:t>
      </w:r>
      <w:r>
        <w:rPr>
          <w:sz w:val="26"/>
          <w:szCs w:val="26"/>
        </w:rPr>
        <w:t>,</w:t>
      </w:r>
      <w:r w:rsidR="000A28A4">
        <w:rPr>
          <w:sz w:val="26"/>
          <w:szCs w:val="26"/>
        </w:rPr>
        <w:t xml:space="preserve"> dai quali risulta che</w:t>
      </w:r>
      <w:r w:rsidR="00A07553">
        <w:rPr>
          <w:sz w:val="26"/>
          <w:szCs w:val="26"/>
        </w:rPr>
        <w:t>:</w:t>
      </w:r>
    </w:p>
    <w:p w14:paraId="17F1B7C1" w14:textId="410B559A" w:rsidR="00A07553" w:rsidRDefault="00A07553" w:rsidP="002C7337">
      <w:pPr>
        <w:spacing w:after="120"/>
        <w:rPr>
          <w:sz w:val="26"/>
          <w:szCs w:val="26"/>
        </w:rPr>
      </w:pPr>
    </w:p>
    <w:p w14:paraId="6ADFD42D" w14:textId="28465766" w:rsidR="003473A3" w:rsidRDefault="003473A3" w:rsidP="002C7337">
      <w:pPr>
        <w:spacing w:after="120"/>
        <w:rPr>
          <w:sz w:val="26"/>
          <w:szCs w:val="26"/>
        </w:rPr>
      </w:pPr>
      <w:r>
        <w:rPr>
          <w:noProof/>
          <w:sz w:val="26"/>
          <w:szCs w:val="26"/>
          <w:lang w:eastAsia="it-IT"/>
        </w:rPr>
        <w:drawing>
          <wp:inline distT="0" distB="0" distL="0" distR="0" wp14:anchorId="60450875" wp14:editId="56E19CB9">
            <wp:extent cx="4142740" cy="2381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2740" cy="2381250"/>
                    </a:xfrm>
                    <a:prstGeom prst="rect">
                      <a:avLst/>
                    </a:prstGeom>
                    <a:noFill/>
                  </pic:spPr>
                </pic:pic>
              </a:graphicData>
            </a:graphic>
          </wp:inline>
        </w:drawing>
      </w:r>
    </w:p>
    <w:p w14:paraId="33FD15F8" w14:textId="77777777" w:rsidR="003473A3" w:rsidRDefault="003473A3" w:rsidP="002C7337">
      <w:pPr>
        <w:spacing w:after="120"/>
        <w:rPr>
          <w:sz w:val="26"/>
          <w:szCs w:val="26"/>
        </w:rPr>
      </w:pPr>
    </w:p>
    <w:tbl>
      <w:tblPr>
        <w:tblStyle w:val="Grigliatabella"/>
        <w:tblW w:w="0" w:type="auto"/>
        <w:tblLook w:val="04A0" w:firstRow="1" w:lastRow="0" w:firstColumn="1" w:lastColumn="0" w:noHBand="0" w:noVBand="1"/>
      </w:tblPr>
      <w:tblGrid>
        <w:gridCol w:w="1982"/>
        <w:gridCol w:w="1918"/>
        <w:gridCol w:w="1693"/>
        <w:gridCol w:w="2032"/>
        <w:gridCol w:w="2003"/>
      </w:tblGrid>
      <w:tr w:rsidR="007D3CAF" w14:paraId="7E7A393C" w14:textId="77777777" w:rsidTr="007D3CAF">
        <w:tc>
          <w:tcPr>
            <w:tcW w:w="1982" w:type="dxa"/>
          </w:tcPr>
          <w:p w14:paraId="6D9AF273" w14:textId="099DA088" w:rsidR="007D3CAF" w:rsidRPr="003473A3" w:rsidRDefault="007D3CAF" w:rsidP="003473A3">
            <w:pPr>
              <w:spacing w:after="120"/>
              <w:rPr>
                <w:i/>
                <w:sz w:val="26"/>
                <w:szCs w:val="26"/>
              </w:rPr>
            </w:pPr>
            <w:r w:rsidRPr="003473A3">
              <w:rPr>
                <w:i/>
                <w:sz w:val="26"/>
                <w:szCs w:val="26"/>
              </w:rPr>
              <w:t>Euro per mc</w:t>
            </w:r>
          </w:p>
        </w:tc>
        <w:tc>
          <w:tcPr>
            <w:tcW w:w="1918" w:type="dxa"/>
          </w:tcPr>
          <w:p w14:paraId="6C540D8D" w14:textId="455D47EA" w:rsidR="007D3CAF" w:rsidRPr="003473A3" w:rsidRDefault="007D3CAF" w:rsidP="003473A3">
            <w:pPr>
              <w:spacing w:after="120"/>
              <w:jc w:val="center"/>
              <w:rPr>
                <w:b/>
                <w:sz w:val="26"/>
                <w:szCs w:val="26"/>
              </w:rPr>
            </w:pPr>
            <w:r w:rsidRPr="003473A3">
              <w:rPr>
                <w:b/>
                <w:sz w:val="26"/>
                <w:szCs w:val="26"/>
              </w:rPr>
              <w:t>Marzo 2021</w:t>
            </w:r>
          </w:p>
        </w:tc>
        <w:tc>
          <w:tcPr>
            <w:tcW w:w="1693" w:type="dxa"/>
          </w:tcPr>
          <w:p w14:paraId="3784306B" w14:textId="39E90C12" w:rsidR="007D3CAF" w:rsidRPr="003473A3" w:rsidRDefault="007D3CAF" w:rsidP="003473A3">
            <w:pPr>
              <w:spacing w:after="120"/>
              <w:jc w:val="center"/>
              <w:rPr>
                <w:b/>
                <w:sz w:val="26"/>
                <w:szCs w:val="26"/>
              </w:rPr>
            </w:pPr>
            <w:r>
              <w:rPr>
                <w:b/>
                <w:sz w:val="26"/>
                <w:szCs w:val="26"/>
              </w:rPr>
              <w:t>Luglio 2021</w:t>
            </w:r>
          </w:p>
        </w:tc>
        <w:tc>
          <w:tcPr>
            <w:tcW w:w="2032" w:type="dxa"/>
          </w:tcPr>
          <w:p w14:paraId="6F98CA17" w14:textId="75C59223" w:rsidR="007D3CAF" w:rsidRPr="003473A3" w:rsidRDefault="007D3CAF" w:rsidP="003473A3">
            <w:pPr>
              <w:spacing w:after="120"/>
              <w:jc w:val="center"/>
              <w:rPr>
                <w:b/>
                <w:sz w:val="26"/>
                <w:szCs w:val="26"/>
              </w:rPr>
            </w:pPr>
            <w:r w:rsidRPr="003473A3">
              <w:rPr>
                <w:b/>
                <w:sz w:val="26"/>
                <w:szCs w:val="26"/>
              </w:rPr>
              <w:t>Dicembre 2021</w:t>
            </w:r>
          </w:p>
        </w:tc>
        <w:tc>
          <w:tcPr>
            <w:tcW w:w="2003" w:type="dxa"/>
          </w:tcPr>
          <w:p w14:paraId="538DB589" w14:textId="63AC46A8" w:rsidR="007D3CAF" w:rsidRPr="003473A3" w:rsidRDefault="007D3CAF" w:rsidP="003473A3">
            <w:pPr>
              <w:spacing w:after="120"/>
              <w:jc w:val="center"/>
              <w:rPr>
                <w:b/>
                <w:sz w:val="26"/>
                <w:szCs w:val="26"/>
              </w:rPr>
            </w:pPr>
            <w:r w:rsidRPr="003473A3">
              <w:rPr>
                <w:b/>
                <w:sz w:val="26"/>
                <w:szCs w:val="26"/>
              </w:rPr>
              <w:t>Febbraio 2022</w:t>
            </w:r>
          </w:p>
        </w:tc>
      </w:tr>
      <w:tr w:rsidR="007D3CAF" w14:paraId="5CA6A602" w14:textId="77777777" w:rsidTr="007D3CAF">
        <w:tc>
          <w:tcPr>
            <w:tcW w:w="1982" w:type="dxa"/>
          </w:tcPr>
          <w:p w14:paraId="14E7A6B2" w14:textId="0A626936" w:rsidR="007D3CAF" w:rsidRDefault="007D3CAF" w:rsidP="003473A3">
            <w:pPr>
              <w:spacing w:after="120"/>
              <w:rPr>
                <w:sz w:val="26"/>
                <w:szCs w:val="26"/>
              </w:rPr>
            </w:pPr>
            <w:r>
              <w:rPr>
                <w:sz w:val="26"/>
                <w:szCs w:val="26"/>
              </w:rPr>
              <w:t>Gas naturale</w:t>
            </w:r>
          </w:p>
        </w:tc>
        <w:tc>
          <w:tcPr>
            <w:tcW w:w="1918" w:type="dxa"/>
          </w:tcPr>
          <w:p w14:paraId="15F2C140" w14:textId="34E0013B" w:rsidR="007D3CAF" w:rsidRDefault="007D3CAF" w:rsidP="003473A3">
            <w:pPr>
              <w:spacing w:after="120"/>
              <w:jc w:val="center"/>
              <w:rPr>
                <w:sz w:val="26"/>
                <w:szCs w:val="26"/>
              </w:rPr>
            </w:pPr>
            <w:r>
              <w:rPr>
                <w:sz w:val="26"/>
                <w:szCs w:val="26"/>
              </w:rPr>
              <w:t>0,2</w:t>
            </w:r>
          </w:p>
        </w:tc>
        <w:tc>
          <w:tcPr>
            <w:tcW w:w="1693" w:type="dxa"/>
          </w:tcPr>
          <w:p w14:paraId="38EB0A24" w14:textId="306C3EA1" w:rsidR="007D3CAF" w:rsidRDefault="007D3CAF" w:rsidP="003473A3">
            <w:pPr>
              <w:spacing w:after="120"/>
              <w:jc w:val="center"/>
              <w:rPr>
                <w:sz w:val="26"/>
                <w:szCs w:val="26"/>
              </w:rPr>
            </w:pPr>
            <w:r>
              <w:rPr>
                <w:sz w:val="26"/>
                <w:szCs w:val="26"/>
              </w:rPr>
              <w:t>0,2</w:t>
            </w:r>
          </w:p>
        </w:tc>
        <w:tc>
          <w:tcPr>
            <w:tcW w:w="2032" w:type="dxa"/>
          </w:tcPr>
          <w:p w14:paraId="1CEC6BC6" w14:textId="65423B55" w:rsidR="007D3CAF" w:rsidRDefault="007D3CAF" w:rsidP="003473A3">
            <w:pPr>
              <w:spacing w:after="120"/>
              <w:jc w:val="center"/>
              <w:rPr>
                <w:sz w:val="26"/>
                <w:szCs w:val="26"/>
              </w:rPr>
            </w:pPr>
            <w:r>
              <w:rPr>
                <w:sz w:val="26"/>
                <w:szCs w:val="26"/>
              </w:rPr>
              <w:t>0,5</w:t>
            </w:r>
          </w:p>
        </w:tc>
        <w:tc>
          <w:tcPr>
            <w:tcW w:w="2003" w:type="dxa"/>
          </w:tcPr>
          <w:p w14:paraId="34EF5542" w14:textId="7486BD38" w:rsidR="007D3CAF" w:rsidRDefault="007D3CAF" w:rsidP="003473A3">
            <w:pPr>
              <w:spacing w:after="120"/>
              <w:jc w:val="center"/>
              <w:rPr>
                <w:sz w:val="26"/>
                <w:szCs w:val="26"/>
              </w:rPr>
            </w:pPr>
            <w:r>
              <w:rPr>
                <w:sz w:val="26"/>
                <w:szCs w:val="26"/>
              </w:rPr>
              <w:t>0,6</w:t>
            </w:r>
          </w:p>
        </w:tc>
      </w:tr>
      <w:tr w:rsidR="007D3CAF" w14:paraId="75EDE9CA" w14:textId="77777777" w:rsidTr="007D3CAF">
        <w:tc>
          <w:tcPr>
            <w:tcW w:w="1982" w:type="dxa"/>
          </w:tcPr>
          <w:p w14:paraId="30837D3F" w14:textId="69CBBBB4" w:rsidR="007D3CAF" w:rsidRDefault="007D3CAF" w:rsidP="003473A3">
            <w:pPr>
              <w:spacing w:after="120"/>
              <w:rPr>
                <w:sz w:val="26"/>
                <w:szCs w:val="26"/>
              </w:rPr>
            </w:pPr>
            <w:r>
              <w:rPr>
                <w:sz w:val="26"/>
                <w:szCs w:val="26"/>
              </w:rPr>
              <w:t>Dutch TTF</w:t>
            </w:r>
          </w:p>
        </w:tc>
        <w:tc>
          <w:tcPr>
            <w:tcW w:w="1918" w:type="dxa"/>
          </w:tcPr>
          <w:p w14:paraId="3F68B7FF" w14:textId="6523EFB7" w:rsidR="007D3CAF" w:rsidRDefault="007D3CAF" w:rsidP="003473A3">
            <w:pPr>
              <w:spacing w:after="120"/>
              <w:jc w:val="center"/>
              <w:rPr>
                <w:sz w:val="26"/>
                <w:szCs w:val="26"/>
              </w:rPr>
            </w:pPr>
            <w:r>
              <w:rPr>
                <w:sz w:val="26"/>
                <w:szCs w:val="26"/>
              </w:rPr>
              <w:t>0,2</w:t>
            </w:r>
          </w:p>
        </w:tc>
        <w:tc>
          <w:tcPr>
            <w:tcW w:w="1693" w:type="dxa"/>
          </w:tcPr>
          <w:p w14:paraId="501749E4" w14:textId="3D8158BC" w:rsidR="007D3CAF" w:rsidRDefault="007D3CAF" w:rsidP="003473A3">
            <w:pPr>
              <w:spacing w:after="120"/>
              <w:jc w:val="center"/>
              <w:rPr>
                <w:sz w:val="26"/>
                <w:szCs w:val="26"/>
              </w:rPr>
            </w:pPr>
            <w:r>
              <w:rPr>
                <w:sz w:val="26"/>
                <w:szCs w:val="26"/>
              </w:rPr>
              <w:t>0,4</w:t>
            </w:r>
          </w:p>
        </w:tc>
        <w:tc>
          <w:tcPr>
            <w:tcW w:w="2032" w:type="dxa"/>
          </w:tcPr>
          <w:p w14:paraId="2F6790DF" w14:textId="2BF0CDE3" w:rsidR="007D3CAF" w:rsidRDefault="007D3CAF" w:rsidP="003473A3">
            <w:pPr>
              <w:spacing w:after="120"/>
              <w:jc w:val="center"/>
              <w:rPr>
                <w:sz w:val="26"/>
                <w:szCs w:val="26"/>
              </w:rPr>
            </w:pPr>
            <w:r>
              <w:rPr>
                <w:sz w:val="26"/>
                <w:szCs w:val="26"/>
              </w:rPr>
              <w:t>1,2</w:t>
            </w:r>
          </w:p>
        </w:tc>
        <w:tc>
          <w:tcPr>
            <w:tcW w:w="2003" w:type="dxa"/>
          </w:tcPr>
          <w:p w14:paraId="332D8FAF" w14:textId="7FE08572" w:rsidR="007D3CAF" w:rsidRDefault="007D3CAF" w:rsidP="003473A3">
            <w:pPr>
              <w:spacing w:after="120"/>
              <w:jc w:val="center"/>
              <w:rPr>
                <w:sz w:val="26"/>
                <w:szCs w:val="26"/>
              </w:rPr>
            </w:pPr>
            <w:r>
              <w:rPr>
                <w:sz w:val="26"/>
                <w:szCs w:val="26"/>
              </w:rPr>
              <w:t>1,6</w:t>
            </w:r>
          </w:p>
        </w:tc>
      </w:tr>
    </w:tbl>
    <w:p w14:paraId="01AD94BE" w14:textId="16E057C4" w:rsidR="00CB7859" w:rsidRPr="002C7337" w:rsidRDefault="00CB7859" w:rsidP="003473A3">
      <w:pPr>
        <w:spacing w:after="120"/>
        <w:jc w:val="center"/>
        <w:rPr>
          <w:sz w:val="26"/>
          <w:szCs w:val="26"/>
        </w:rPr>
      </w:pPr>
    </w:p>
    <w:p w14:paraId="7B2FE1F6" w14:textId="11C06CA4" w:rsidR="00CB7859" w:rsidRPr="002C7337" w:rsidRDefault="00CB7859" w:rsidP="002C7337">
      <w:pPr>
        <w:pStyle w:val="Paragrafoelenco"/>
        <w:spacing w:after="120"/>
        <w:ind w:left="360"/>
        <w:rPr>
          <w:b/>
          <w:bCs/>
          <w:sz w:val="26"/>
          <w:szCs w:val="26"/>
        </w:rPr>
      </w:pPr>
      <w:r w:rsidRPr="002C7337">
        <w:rPr>
          <w:b/>
          <w:bCs/>
          <w:sz w:val="26"/>
          <w:szCs w:val="26"/>
        </w:rPr>
        <w:t>In particolare, i prezzi del gas</w:t>
      </w:r>
    </w:p>
    <w:p w14:paraId="76FC8943" w14:textId="619051CF" w:rsidR="00CB7859" w:rsidRPr="002C7337" w:rsidRDefault="00CB7859" w:rsidP="002C7337">
      <w:pPr>
        <w:spacing w:after="120"/>
        <w:rPr>
          <w:sz w:val="26"/>
          <w:szCs w:val="26"/>
        </w:rPr>
      </w:pPr>
      <w:r w:rsidRPr="002C7337">
        <w:rPr>
          <w:sz w:val="26"/>
          <w:szCs w:val="26"/>
        </w:rPr>
        <w:t>I prezzi reali in importazione del </w:t>
      </w:r>
      <w:r w:rsidRPr="002C7337">
        <w:rPr>
          <w:b/>
          <w:bCs/>
          <w:sz w:val="26"/>
          <w:szCs w:val="26"/>
        </w:rPr>
        <w:t>gas naturale</w:t>
      </w:r>
      <w:r w:rsidRPr="002C7337">
        <w:rPr>
          <w:sz w:val="26"/>
          <w:szCs w:val="26"/>
        </w:rPr>
        <w:t xml:space="preserve"> sono influenzati dalla vigenza di contratti a lungo termine (in alcuni casi pluridecennali) caratterizzati da prezzi </w:t>
      </w:r>
      <w:r w:rsidR="00892B1B">
        <w:rPr>
          <w:sz w:val="26"/>
          <w:szCs w:val="26"/>
        </w:rPr>
        <w:t>indicizzati</w:t>
      </w:r>
      <w:r w:rsidRPr="002C7337">
        <w:rPr>
          <w:sz w:val="26"/>
          <w:szCs w:val="26"/>
        </w:rPr>
        <w:t xml:space="preserve"> e da volumi di importazione modulabili</w:t>
      </w:r>
      <w:r w:rsidR="007D3CAF">
        <w:rPr>
          <w:sz w:val="26"/>
          <w:szCs w:val="26"/>
        </w:rPr>
        <w:t>.</w:t>
      </w:r>
    </w:p>
    <w:p w14:paraId="2BFBE712" w14:textId="77777777" w:rsidR="00A16445" w:rsidRDefault="00A16445" w:rsidP="00F04FA5">
      <w:pPr>
        <w:pStyle w:val="Paragrafoelenco"/>
        <w:spacing w:after="120"/>
        <w:ind w:left="360"/>
        <w:rPr>
          <w:b/>
          <w:bCs/>
          <w:sz w:val="26"/>
          <w:szCs w:val="26"/>
        </w:rPr>
      </w:pPr>
    </w:p>
    <w:p w14:paraId="1365D584" w14:textId="59945E8B" w:rsidR="00F04FA5" w:rsidRPr="002C7337" w:rsidRDefault="00F04FA5" w:rsidP="00F04FA5">
      <w:pPr>
        <w:pStyle w:val="Paragrafoelenco"/>
        <w:spacing w:after="120"/>
        <w:ind w:left="360"/>
        <w:rPr>
          <w:b/>
          <w:bCs/>
          <w:sz w:val="26"/>
          <w:szCs w:val="26"/>
        </w:rPr>
      </w:pPr>
      <w:r w:rsidRPr="002C7337">
        <w:rPr>
          <w:b/>
          <w:bCs/>
          <w:sz w:val="26"/>
          <w:szCs w:val="26"/>
        </w:rPr>
        <w:t>In particolare, i prezzi dei carburanti</w:t>
      </w:r>
    </w:p>
    <w:p w14:paraId="2DA20A6B" w14:textId="1D2021B0" w:rsidR="0084045C" w:rsidRDefault="0084045C" w:rsidP="0084045C">
      <w:pPr>
        <w:spacing w:after="120"/>
        <w:rPr>
          <w:sz w:val="26"/>
          <w:szCs w:val="26"/>
        </w:rPr>
      </w:pPr>
      <w:r w:rsidRPr="002C7337">
        <w:rPr>
          <w:sz w:val="26"/>
          <w:szCs w:val="26"/>
        </w:rPr>
        <w:t>Per quanto riguarda i </w:t>
      </w:r>
      <w:r w:rsidRPr="002C7337">
        <w:rPr>
          <w:b/>
          <w:bCs/>
          <w:sz w:val="26"/>
          <w:szCs w:val="26"/>
        </w:rPr>
        <w:t xml:space="preserve">carburanti </w:t>
      </w:r>
      <w:r>
        <w:rPr>
          <w:b/>
          <w:bCs/>
          <w:sz w:val="26"/>
          <w:szCs w:val="26"/>
        </w:rPr>
        <w:t>per autotrazione</w:t>
      </w:r>
      <w:r w:rsidRPr="002C7337">
        <w:rPr>
          <w:sz w:val="26"/>
          <w:szCs w:val="26"/>
        </w:rPr>
        <w:t>, analoga correlazione tra prezzi dei contratti </w:t>
      </w:r>
      <w:r w:rsidRPr="002C7337">
        <w:rPr>
          <w:i/>
          <w:iCs/>
          <w:sz w:val="26"/>
          <w:szCs w:val="26"/>
        </w:rPr>
        <w:t>futures</w:t>
      </w:r>
      <w:r w:rsidRPr="002C7337">
        <w:rPr>
          <w:sz w:val="26"/>
          <w:szCs w:val="26"/>
        </w:rPr>
        <w:t> e prezzi all’importazione vale per il greggio, con una sostanziale coincidenza dei due valori per il gasolio e per la benzina (seppur, in tal caso, in minor misura). Trattandosi dei due prodotti principali acquistati dai consumatori finali, oltre agli andamenti dei costi all’importazione (o alla fabbricazione), assume particolare interesse anche l’andamento del prezzo “alla pompa”, al netto delle imposte.</w:t>
      </w:r>
    </w:p>
    <w:p w14:paraId="74B919DA" w14:textId="5006711F" w:rsidR="0084045C" w:rsidRDefault="0084045C" w:rsidP="0084045C">
      <w:pPr>
        <w:spacing w:after="120"/>
        <w:rPr>
          <w:sz w:val="26"/>
          <w:szCs w:val="26"/>
        </w:rPr>
      </w:pPr>
    </w:p>
    <w:p w14:paraId="222E9B77" w14:textId="710ED89A" w:rsidR="00A16445" w:rsidRDefault="00A16445" w:rsidP="0084045C">
      <w:pPr>
        <w:spacing w:after="120"/>
        <w:rPr>
          <w:sz w:val="26"/>
          <w:szCs w:val="26"/>
        </w:rPr>
      </w:pPr>
    </w:p>
    <w:p w14:paraId="61988ADF" w14:textId="341481D3" w:rsidR="00A16445" w:rsidRDefault="00A16445" w:rsidP="0084045C">
      <w:pPr>
        <w:spacing w:after="120"/>
        <w:rPr>
          <w:sz w:val="26"/>
          <w:szCs w:val="26"/>
        </w:rPr>
      </w:pPr>
    </w:p>
    <w:p w14:paraId="11C55C50" w14:textId="77777777" w:rsidR="00A16445" w:rsidRDefault="00A16445" w:rsidP="0084045C">
      <w:pPr>
        <w:spacing w:after="120"/>
        <w:rPr>
          <w:sz w:val="26"/>
          <w:szCs w:val="26"/>
        </w:rPr>
      </w:pPr>
    </w:p>
    <w:p w14:paraId="45E11EB5" w14:textId="77777777" w:rsidR="0084045C" w:rsidRPr="007D3CAF" w:rsidRDefault="0084045C" w:rsidP="0084045C">
      <w:pPr>
        <w:spacing w:after="120"/>
        <w:rPr>
          <w:sz w:val="26"/>
          <w:szCs w:val="26"/>
        </w:rPr>
      </w:pPr>
      <w:r w:rsidRPr="007D3CAF">
        <w:rPr>
          <w:b/>
          <w:sz w:val="26"/>
          <w:szCs w:val="26"/>
        </w:rPr>
        <w:lastRenderedPageBreak/>
        <w:t>Rilevazione del</w:t>
      </w:r>
      <w:r w:rsidRPr="00BD5944">
        <w:rPr>
          <w:b/>
          <w:sz w:val="26"/>
          <w:szCs w:val="26"/>
        </w:rPr>
        <w:t xml:space="preserve"> 21/03/2022</w:t>
      </w:r>
      <w:r>
        <w:rPr>
          <w:sz w:val="26"/>
          <w:szCs w:val="26"/>
        </w:rPr>
        <w:t xml:space="preserve"> (</w:t>
      </w:r>
      <w:r w:rsidRPr="007D3CAF">
        <w:rPr>
          <w:sz w:val="26"/>
          <w:szCs w:val="26"/>
        </w:rPr>
        <w:t>Media settimanale dei prezzi dal giorno 14/03/2022 a 20/03/2022</w:t>
      </w:r>
      <w:r>
        <w:rPr>
          <w:sz w:val="26"/>
          <w:szCs w:val="26"/>
        </w:rPr>
        <w:t>)</w:t>
      </w:r>
      <w:r w:rsidRPr="007D3CAF">
        <w:rPr>
          <w:sz w:val="26"/>
          <w:szCs w:val="26"/>
        </w:rPr>
        <w:t>.</w:t>
      </w:r>
    </w:p>
    <w:tbl>
      <w:tblPr>
        <w:tblW w:w="3964"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744"/>
        <w:gridCol w:w="1220"/>
      </w:tblGrid>
      <w:tr w:rsidR="0084045C" w:rsidRPr="00BD5944" w14:paraId="6699079A" w14:textId="77777777" w:rsidTr="00D3679F">
        <w:tc>
          <w:tcPr>
            <w:tcW w:w="2744" w:type="dxa"/>
            <w:hideMark/>
          </w:tcPr>
          <w:p w14:paraId="6863D879" w14:textId="77777777" w:rsidR="0084045C" w:rsidRPr="007D3CAF" w:rsidRDefault="0084045C" w:rsidP="00D3679F">
            <w:pPr>
              <w:spacing w:after="120"/>
              <w:rPr>
                <w:sz w:val="26"/>
                <w:szCs w:val="26"/>
              </w:rPr>
            </w:pPr>
            <w:r w:rsidRPr="00BD5944">
              <w:rPr>
                <w:sz w:val="26"/>
                <w:szCs w:val="26"/>
              </w:rPr>
              <w:t>Benzina</w:t>
            </w:r>
          </w:p>
        </w:tc>
        <w:tc>
          <w:tcPr>
            <w:tcW w:w="1220" w:type="dxa"/>
            <w:hideMark/>
          </w:tcPr>
          <w:p w14:paraId="5974882D" w14:textId="77777777" w:rsidR="0084045C" w:rsidRPr="007D3CAF" w:rsidRDefault="0084045C" w:rsidP="00D3679F">
            <w:pPr>
              <w:spacing w:after="120"/>
              <w:rPr>
                <w:b/>
                <w:sz w:val="26"/>
                <w:szCs w:val="26"/>
              </w:rPr>
            </w:pPr>
            <w:r w:rsidRPr="00BD5944">
              <w:rPr>
                <w:b/>
                <w:sz w:val="26"/>
                <w:szCs w:val="26"/>
              </w:rPr>
              <w:t>2.137,19</w:t>
            </w:r>
          </w:p>
        </w:tc>
      </w:tr>
      <w:tr w:rsidR="0084045C" w:rsidRPr="00BD5944" w14:paraId="0D62C09D" w14:textId="77777777" w:rsidTr="00D3679F">
        <w:tc>
          <w:tcPr>
            <w:tcW w:w="2744" w:type="dxa"/>
            <w:hideMark/>
          </w:tcPr>
          <w:p w14:paraId="17C5964F" w14:textId="77777777" w:rsidR="0084045C" w:rsidRPr="007D3CAF" w:rsidRDefault="0084045C" w:rsidP="00D3679F">
            <w:pPr>
              <w:spacing w:after="120"/>
              <w:rPr>
                <w:sz w:val="26"/>
                <w:szCs w:val="26"/>
              </w:rPr>
            </w:pPr>
            <w:r w:rsidRPr="00BD5944">
              <w:rPr>
                <w:sz w:val="26"/>
                <w:szCs w:val="26"/>
              </w:rPr>
              <w:t>Gasolio auto</w:t>
            </w:r>
          </w:p>
        </w:tc>
        <w:tc>
          <w:tcPr>
            <w:tcW w:w="1220" w:type="dxa"/>
            <w:hideMark/>
          </w:tcPr>
          <w:p w14:paraId="122415BD" w14:textId="77777777" w:rsidR="0084045C" w:rsidRPr="007D3CAF" w:rsidRDefault="0084045C" w:rsidP="00D3679F">
            <w:pPr>
              <w:spacing w:after="120"/>
              <w:rPr>
                <w:b/>
                <w:sz w:val="26"/>
                <w:szCs w:val="26"/>
              </w:rPr>
            </w:pPr>
            <w:r w:rsidRPr="00BD5944">
              <w:rPr>
                <w:b/>
                <w:sz w:val="26"/>
                <w:szCs w:val="26"/>
              </w:rPr>
              <w:t>2.124,56</w:t>
            </w:r>
          </w:p>
        </w:tc>
      </w:tr>
      <w:tr w:rsidR="0084045C" w:rsidRPr="00BD5944" w14:paraId="72E15C39" w14:textId="77777777" w:rsidTr="00D3679F">
        <w:tc>
          <w:tcPr>
            <w:tcW w:w="2744" w:type="dxa"/>
            <w:hideMark/>
          </w:tcPr>
          <w:p w14:paraId="20840F6B" w14:textId="77777777" w:rsidR="0084045C" w:rsidRPr="007D3CAF" w:rsidRDefault="0084045C" w:rsidP="00D3679F">
            <w:pPr>
              <w:spacing w:after="120"/>
              <w:rPr>
                <w:sz w:val="26"/>
                <w:szCs w:val="26"/>
              </w:rPr>
            </w:pPr>
            <w:r w:rsidRPr="00BD5944">
              <w:rPr>
                <w:sz w:val="26"/>
                <w:szCs w:val="26"/>
              </w:rPr>
              <w:t>GPL</w:t>
            </w:r>
          </w:p>
        </w:tc>
        <w:tc>
          <w:tcPr>
            <w:tcW w:w="1220" w:type="dxa"/>
            <w:hideMark/>
          </w:tcPr>
          <w:p w14:paraId="0550412F" w14:textId="77777777" w:rsidR="0084045C" w:rsidRPr="007D3CAF" w:rsidRDefault="0084045C" w:rsidP="00D3679F">
            <w:pPr>
              <w:spacing w:after="120"/>
              <w:rPr>
                <w:b/>
                <w:sz w:val="26"/>
                <w:szCs w:val="26"/>
              </w:rPr>
            </w:pPr>
            <w:r w:rsidRPr="00BD5944">
              <w:rPr>
                <w:b/>
                <w:sz w:val="26"/>
                <w:szCs w:val="26"/>
              </w:rPr>
              <w:t>876,81</w:t>
            </w:r>
          </w:p>
        </w:tc>
      </w:tr>
      <w:tr w:rsidR="0084045C" w:rsidRPr="00BD5944" w14:paraId="5302DF0C" w14:textId="77777777" w:rsidTr="00D3679F">
        <w:tc>
          <w:tcPr>
            <w:tcW w:w="2744" w:type="dxa"/>
            <w:hideMark/>
          </w:tcPr>
          <w:p w14:paraId="4A9BE0BB" w14:textId="77777777" w:rsidR="0084045C" w:rsidRPr="007D3CAF" w:rsidRDefault="0084045C" w:rsidP="00D3679F">
            <w:pPr>
              <w:spacing w:after="120"/>
              <w:rPr>
                <w:sz w:val="26"/>
                <w:szCs w:val="26"/>
              </w:rPr>
            </w:pPr>
          </w:p>
        </w:tc>
        <w:tc>
          <w:tcPr>
            <w:tcW w:w="1220" w:type="dxa"/>
            <w:hideMark/>
          </w:tcPr>
          <w:p w14:paraId="590940AC" w14:textId="77777777" w:rsidR="0084045C" w:rsidRPr="007D3CAF" w:rsidRDefault="0084045C" w:rsidP="00D3679F">
            <w:pPr>
              <w:spacing w:after="120"/>
              <w:rPr>
                <w:b/>
                <w:sz w:val="26"/>
                <w:szCs w:val="26"/>
              </w:rPr>
            </w:pPr>
          </w:p>
        </w:tc>
      </w:tr>
      <w:tr w:rsidR="0084045C" w:rsidRPr="00BD5944" w14:paraId="44D421C6" w14:textId="77777777" w:rsidTr="00D3679F">
        <w:tc>
          <w:tcPr>
            <w:tcW w:w="2744" w:type="dxa"/>
            <w:hideMark/>
          </w:tcPr>
          <w:p w14:paraId="3033C406" w14:textId="77777777" w:rsidR="0084045C" w:rsidRPr="007D3CAF" w:rsidRDefault="0084045C" w:rsidP="00D3679F">
            <w:pPr>
              <w:spacing w:after="120"/>
              <w:rPr>
                <w:sz w:val="26"/>
                <w:szCs w:val="26"/>
              </w:rPr>
            </w:pPr>
            <w:r w:rsidRPr="00BD5944">
              <w:rPr>
                <w:sz w:val="26"/>
                <w:szCs w:val="26"/>
              </w:rPr>
              <w:t>Gasolio riscaldamento</w:t>
            </w:r>
          </w:p>
        </w:tc>
        <w:tc>
          <w:tcPr>
            <w:tcW w:w="1220" w:type="dxa"/>
            <w:hideMark/>
          </w:tcPr>
          <w:p w14:paraId="4CF3ECE6" w14:textId="77777777" w:rsidR="0084045C" w:rsidRPr="007D3CAF" w:rsidRDefault="0084045C" w:rsidP="00D3679F">
            <w:pPr>
              <w:spacing w:after="120"/>
              <w:rPr>
                <w:b/>
                <w:sz w:val="26"/>
                <w:szCs w:val="26"/>
              </w:rPr>
            </w:pPr>
            <w:r w:rsidRPr="00BD5944">
              <w:rPr>
                <w:b/>
                <w:sz w:val="26"/>
                <w:szCs w:val="26"/>
              </w:rPr>
              <w:t>1.791,40</w:t>
            </w:r>
          </w:p>
        </w:tc>
      </w:tr>
    </w:tbl>
    <w:p w14:paraId="3C2EE21E" w14:textId="77777777" w:rsidR="0084045C" w:rsidRPr="002C7337" w:rsidRDefault="0084045C" w:rsidP="0084045C">
      <w:pPr>
        <w:spacing w:after="120"/>
        <w:rPr>
          <w:sz w:val="26"/>
          <w:szCs w:val="26"/>
        </w:rPr>
      </w:pPr>
    </w:p>
    <w:p w14:paraId="493B7C2F" w14:textId="77777777" w:rsidR="004F5B11" w:rsidRPr="00F04FA5" w:rsidRDefault="00FF66D8" w:rsidP="00892B1B">
      <w:pPr>
        <w:numPr>
          <w:ilvl w:val="0"/>
          <w:numId w:val="11"/>
        </w:numPr>
        <w:spacing w:after="120"/>
        <w:rPr>
          <w:sz w:val="26"/>
          <w:szCs w:val="26"/>
        </w:rPr>
      </w:pPr>
      <w:r w:rsidRPr="00F04FA5">
        <w:rPr>
          <w:sz w:val="26"/>
          <w:szCs w:val="26"/>
        </w:rPr>
        <w:t>Nella settimana 10-14 Marzo la benzina è aumentata del 13% e il diesel del 21%</w:t>
      </w:r>
    </w:p>
    <w:p w14:paraId="0A17F6E9" w14:textId="16AC451F" w:rsidR="004F5B11" w:rsidRPr="00F04FA5" w:rsidRDefault="00FF66D8" w:rsidP="00892B1B">
      <w:pPr>
        <w:numPr>
          <w:ilvl w:val="0"/>
          <w:numId w:val="11"/>
        </w:numPr>
        <w:spacing w:after="120"/>
        <w:rPr>
          <w:sz w:val="26"/>
          <w:szCs w:val="26"/>
        </w:rPr>
      </w:pPr>
      <w:r w:rsidRPr="00F04FA5">
        <w:rPr>
          <w:sz w:val="26"/>
          <w:szCs w:val="26"/>
        </w:rPr>
        <w:t>Ma gli aumenti del prezzo carburante riflettono solo in parte quelli del petrolio, che dopo aver toccato 128 US$ il giorno 8 Marzo è sceso a 98 US$ in una settimana</w:t>
      </w:r>
    </w:p>
    <w:p w14:paraId="54680855" w14:textId="0E338F46" w:rsidR="004F5B11" w:rsidRPr="00F04FA5" w:rsidRDefault="00FF66D8" w:rsidP="00892B1B">
      <w:pPr>
        <w:numPr>
          <w:ilvl w:val="0"/>
          <w:numId w:val="11"/>
        </w:numPr>
        <w:spacing w:after="120"/>
        <w:rPr>
          <w:sz w:val="26"/>
          <w:szCs w:val="26"/>
        </w:rPr>
      </w:pPr>
      <w:r w:rsidRPr="00F04FA5">
        <w:rPr>
          <w:sz w:val="26"/>
          <w:szCs w:val="26"/>
        </w:rPr>
        <w:t>Si osserva regolarmente che l’adeguamento del prezzo alla pompa al prezzo del greggio è immediato, mentre l’adeguamento alla riduzione del prezzo del greggio è ritardato</w:t>
      </w:r>
    </w:p>
    <w:p w14:paraId="0A60691D" w14:textId="77777777" w:rsidR="005629D0" w:rsidRDefault="005629D0" w:rsidP="005629D0">
      <w:pPr>
        <w:spacing w:after="120" w:line="254" w:lineRule="auto"/>
        <w:rPr>
          <w:rFonts w:ascii="Calibri" w:eastAsia="Calibri" w:hAnsi="Calibri" w:cs="Times New Roman"/>
          <w:sz w:val="26"/>
          <w:szCs w:val="26"/>
        </w:rPr>
      </w:pPr>
    </w:p>
    <w:p w14:paraId="2FAD21E0" w14:textId="77777777" w:rsidR="005629D0" w:rsidRDefault="005629D0" w:rsidP="005629D0">
      <w:pPr>
        <w:spacing w:after="120" w:line="254" w:lineRule="auto"/>
        <w:rPr>
          <w:rFonts w:ascii="Calibri" w:eastAsia="Calibri" w:hAnsi="Calibri" w:cs="Times New Roman"/>
          <w:b/>
          <w:bCs/>
          <w:sz w:val="26"/>
          <w:szCs w:val="26"/>
        </w:rPr>
      </w:pPr>
      <w:r>
        <w:rPr>
          <w:rFonts w:ascii="Calibri" w:eastAsia="Calibri" w:hAnsi="Calibri" w:cs="Times New Roman"/>
          <w:b/>
          <w:bCs/>
          <w:sz w:val="26"/>
          <w:szCs w:val="26"/>
        </w:rPr>
        <w:t>Il costo alla pompa della benzina si compone di diverse voci.</w:t>
      </w:r>
    </w:p>
    <w:p w14:paraId="1FF96BE3" w14:textId="77777777" w:rsidR="005629D0" w:rsidRDefault="005629D0" w:rsidP="005629D0">
      <w:pPr>
        <w:spacing w:after="120" w:line="254" w:lineRule="auto"/>
        <w:rPr>
          <w:rFonts w:ascii="Calibri" w:eastAsia="Calibri" w:hAnsi="Calibri" w:cs="Times New Roman"/>
          <w:b/>
          <w:bCs/>
          <w:sz w:val="26"/>
          <w:szCs w:val="26"/>
        </w:rPr>
      </w:pPr>
      <w:r>
        <w:rPr>
          <w:rFonts w:ascii="Calibri" w:eastAsia="Calibri" w:hAnsi="Calibri" w:cs="Times New Roman"/>
          <w:b/>
          <w:bCs/>
          <w:sz w:val="26"/>
          <w:szCs w:val="26"/>
        </w:rPr>
        <w:t>Di seguito i dati riferiti alla benzina rilevati dal MiTE il 21 marzo 2022.</w:t>
      </w:r>
    </w:p>
    <w:p w14:paraId="3EACB151" w14:textId="77777777" w:rsidR="005629D0" w:rsidRDefault="005629D0" w:rsidP="005629D0">
      <w:pPr>
        <w:spacing w:after="120" w:line="254" w:lineRule="auto"/>
        <w:rPr>
          <w:rFonts w:ascii="Calibri" w:eastAsia="Calibri" w:hAnsi="Calibri" w:cs="Times New Roman"/>
          <w:b/>
          <w:bCs/>
          <w:sz w:val="26"/>
          <w:szCs w:val="26"/>
        </w:rPr>
      </w:pPr>
      <w:r>
        <w:rPr>
          <w:rFonts w:ascii="Calibri" w:eastAsia="Calibri" w:hAnsi="Calibri" w:cs="Times New Roman"/>
          <w:b/>
          <w:bCs/>
          <w:sz w:val="26"/>
          <w:szCs w:val="26"/>
        </w:rPr>
        <w:t>La componente fiscale è tra le più alte d’Europa: pari al 52%, è composta da</w:t>
      </w:r>
    </w:p>
    <w:p w14:paraId="021B3FB4" w14:textId="77777777" w:rsidR="005629D0" w:rsidRDefault="005629D0" w:rsidP="005629D0">
      <w:pPr>
        <w:numPr>
          <w:ilvl w:val="0"/>
          <w:numId w:val="13"/>
        </w:numPr>
        <w:spacing w:after="120" w:line="254" w:lineRule="auto"/>
        <w:contextualSpacing/>
        <w:rPr>
          <w:rFonts w:ascii="Calibri" w:eastAsia="Calibri" w:hAnsi="Calibri" w:cs="Times New Roman"/>
          <w:sz w:val="26"/>
          <w:szCs w:val="26"/>
        </w:rPr>
      </w:pPr>
      <w:r>
        <w:rPr>
          <w:rFonts w:ascii="Calibri" w:eastAsia="Calibri" w:hAnsi="Calibri" w:cs="Times New Roman"/>
          <w:b/>
          <w:bCs/>
          <w:sz w:val="26"/>
          <w:szCs w:val="26"/>
        </w:rPr>
        <w:t>Accisa</w:t>
      </w:r>
      <w:r>
        <w:rPr>
          <w:rFonts w:ascii="Calibri" w:eastAsia="Calibri" w:hAnsi="Calibri" w:cs="Times New Roman"/>
          <w:sz w:val="26"/>
          <w:szCs w:val="26"/>
        </w:rPr>
        <w:t xml:space="preserve"> tassa fissa pari a 0,728 € a litro: rappresenta il 34% del prezzo alla pompa;</w:t>
      </w:r>
    </w:p>
    <w:p w14:paraId="6A67969C" w14:textId="77777777" w:rsidR="005629D0" w:rsidRDefault="005629D0" w:rsidP="005629D0">
      <w:pPr>
        <w:numPr>
          <w:ilvl w:val="0"/>
          <w:numId w:val="13"/>
        </w:numPr>
        <w:spacing w:after="120" w:line="254" w:lineRule="auto"/>
        <w:contextualSpacing/>
        <w:rPr>
          <w:rFonts w:ascii="Calibri" w:eastAsia="Calibri" w:hAnsi="Calibri" w:cs="Times New Roman"/>
          <w:sz w:val="26"/>
          <w:szCs w:val="26"/>
        </w:rPr>
      </w:pPr>
      <w:r>
        <w:rPr>
          <w:rFonts w:ascii="Calibri" w:eastAsia="Calibri" w:hAnsi="Calibri" w:cs="Times New Roman"/>
          <w:b/>
          <w:bCs/>
          <w:sz w:val="26"/>
          <w:szCs w:val="26"/>
        </w:rPr>
        <w:t>IVA</w:t>
      </w:r>
      <w:r>
        <w:rPr>
          <w:rFonts w:ascii="Calibri" w:eastAsia="Calibri" w:hAnsi="Calibri" w:cs="Times New Roman"/>
          <w:sz w:val="26"/>
          <w:szCs w:val="26"/>
        </w:rPr>
        <w:t xml:space="preserve"> </w:t>
      </w:r>
      <w:r>
        <w:rPr>
          <w:rFonts w:ascii="Calibri" w:eastAsia="Calibri" w:hAnsi="Calibri" w:cs="Times New Roman"/>
          <w:sz w:val="26"/>
          <w:szCs w:val="26"/>
        </w:rPr>
        <w:tab/>
        <w:t xml:space="preserve"> pari al 0,386 € a litro e pari al 22% del prezzo Netto (anche detto </w:t>
      </w:r>
      <w:r>
        <w:rPr>
          <w:rFonts w:ascii="Calibri" w:eastAsia="Calibri" w:hAnsi="Calibri" w:cs="Times New Roman"/>
          <w:b/>
          <w:sz w:val="26"/>
          <w:szCs w:val="26"/>
        </w:rPr>
        <w:t xml:space="preserve">prezzo industriale </w:t>
      </w:r>
      <w:r>
        <w:rPr>
          <w:rFonts w:ascii="Calibri" w:eastAsia="Calibri" w:hAnsi="Calibri" w:cs="Times New Roman"/>
          <w:sz w:val="26"/>
          <w:szCs w:val="26"/>
        </w:rPr>
        <w:t xml:space="preserve">questo ultimo risultato pari a 1,023 € al litro) </w:t>
      </w:r>
    </w:p>
    <w:p w14:paraId="2309BDAF" w14:textId="77777777" w:rsidR="005629D0" w:rsidRDefault="005629D0" w:rsidP="005629D0">
      <w:pPr>
        <w:spacing w:after="120" w:line="254" w:lineRule="auto"/>
        <w:rPr>
          <w:rFonts w:ascii="Calibri" w:eastAsia="Calibri" w:hAnsi="Calibri" w:cs="Times New Roman"/>
          <w:sz w:val="26"/>
          <w:szCs w:val="26"/>
        </w:rPr>
      </w:pPr>
      <w:r>
        <w:rPr>
          <w:rFonts w:ascii="Calibri" w:eastAsia="Calibri" w:hAnsi="Calibri" w:cs="Times New Roman"/>
          <w:sz w:val="26"/>
          <w:szCs w:val="26"/>
        </w:rPr>
        <w:t xml:space="preserve">Il </w:t>
      </w:r>
      <w:r>
        <w:rPr>
          <w:rFonts w:ascii="Calibri" w:eastAsia="Calibri" w:hAnsi="Calibri" w:cs="Times New Roman"/>
          <w:b/>
          <w:sz w:val="26"/>
          <w:szCs w:val="26"/>
        </w:rPr>
        <w:t>prezzo netto</w:t>
      </w:r>
      <w:r>
        <w:rPr>
          <w:rFonts w:ascii="Calibri" w:eastAsia="Calibri" w:hAnsi="Calibri" w:cs="Times New Roman"/>
          <w:sz w:val="26"/>
          <w:szCs w:val="26"/>
        </w:rPr>
        <w:t xml:space="preserve"> o </w:t>
      </w:r>
      <w:r>
        <w:rPr>
          <w:rFonts w:ascii="Calibri" w:eastAsia="Calibri" w:hAnsi="Calibri" w:cs="Times New Roman"/>
          <w:b/>
          <w:sz w:val="26"/>
          <w:szCs w:val="26"/>
        </w:rPr>
        <w:t>industriale</w:t>
      </w:r>
      <w:r>
        <w:rPr>
          <w:rFonts w:ascii="Calibri" w:eastAsia="Calibri" w:hAnsi="Calibri" w:cs="Times New Roman"/>
          <w:sz w:val="26"/>
          <w:szCs w:val="26"/>
        </w:rPr>
        <w:t xml:space="preserve"> rappresenta quindi il 48% del prezzo alla pompa ed è così suddivisibile:</w:t>
      </w:r>
    </w:p>
    <w:p w14:paraId="47BEB957" w14:textId="77777777" w:rsidR="005629D0" w:rsidRDefault="005629D0" w:rsidP="005629D0">
      <w:pPr>
        <w:numPr>
          <w:ilvl w:val="0"/>
          <w:numId w:val="14"/>
        </w:numPr>
        <w:spacing w:after="120" w:line="254" w:lineRule="auto"/>
        <w:contextualSpacing/>
        <w:rPr>
          <w:rFonts w:ascii="Calibri" w:eastAsia="Calibri" w:hAnsi="Calibri" w:cs="Times New Roman"/>
          <w:b/>
          <w:bCs/>
          <w:sz w:val="26"/>
          <w:szCs w:val="26"/>
        </w:rPr>
      </w:pPr>
      <w:r>
        <w:rPr>
          <w:rFonts w:ascii="Calibri" w:eastAsia="Calibri" w:hAnsi="Calibri" w:cs="Times New Roman"/>
          <w:b/>
          <w:sz w:val="26"/>
          <w:szCs w:val="26"/>
        </w:rPr>
        <w:t>Materia prima (</w:t>
      </w:r>
      <w:r>
        <w:rPr>
          <w:rFonts w:ascii="Calibri" w:eastAsia="Calibri" w:hAnsi="Calibri" w:cs="Times New Roman"/>
          <w:b/>
          <w:bCs/>
          <w:sz w:val="26"/>
          <w:szCs w:val="26"/>
        </w:rPr>
        <w:t xml:space="preserve">greggio) </w:t>
      </w:r>
      <w:r>
        <w:rPr>
          <w:rFonts w:ascii="Calibri" w:eastAsia="Calibri" w:hAnsi="Calibri" w:cs="Times New Roman"/>
          <w:bCs/>
          <w:sz w:val="26"/>
          <w:szCs w:val="26"/>
        </w:rPr>
        <w:t>che rappresenta circa il 35% del prezzo finale ed è dato dal prezzo internazionale della benzina sul mercato PLATTS e sul quale incide anche l’effetto del cambio euro / dollaro</w:t>
      </w:r>
      <w:r>
        <w:rPr>
          <w:rFonts w:ascii="Calibri" w:eastAsia="Calibri" w:hAnsi="Calibri" w:cs="Times New Roman"/>
          <w:b/>
          <w:bCs/>
          <w:sz w:val="26"/>
          <w:szCs w:val="26"/>
        </w:rPr>
        <w:t>;</w:t>
      </w:r>
    </w:p>
    <w:p w14:paraId="7AD9257B" w14:textId="77777777" w:rsidR="005629D0" w:rsidRDefault="005629D0" w:rsidP="005629D0">
      <w:pPr>
        <w:numPr>
          <w:ilvl w:val="0"/>
          <w:numId w:val="14"/>
        </w:numPr>
        <w:spacing w:after="120" w:line="254" w:lineRule="auto"/>
        <w:contextualSpacing/>
        <w:rPr>
          <w:rFonts w:ascii="Calibri" w:eastAsia="Calibri" w:hAnsi="Calibri" w:cs="Times New Roman"/>
          <w:bCs/>
          <w:sz w:val="26"/>
          <w:szCs w:val="26"/>
        </w:rPr>
      </w:pPr>
      <w:r>
        <w:rPr>
          <w:rFonts w:ascii="Calibri" w:eastAsia="Calibri" w:hAnsi="Calibri" w:cs="Times New Roman"/>
          <w:b/>
          <w:sz w:val="26"/>
          <w:szCs w:val="26"/>
        </w:rPr>
        <w:t>MARGINE LORDO dei petrolieri</w:t>
      </w:r>
      <w:r>
        <w:rPr>
          <w:rFonts w:ascii="Calibri" w:eastAsia="Calibri" w:hAnsi="Calibri" w:cs="Times New Roman"/>
          <w:sz w:val="26"/>
          <w:szCs w:val="26"/>
        </w:rPr>
        <w:t xml:space="preserve"> </w:t>
      </w:r>
      <w:r>
        <w:rPr>
          <w:rFonts w:ascii="Calibri" w:eastAsia="Calibri" w:hAnsi="Calibri" w:cs="Times New Roman"/>
          <w:bCs/>
          <w:sz w:val="26"/>
          <w:szCs w:val="26"/>
        </w:rPr>
        <w:t>che rappresenta circa il 13% del prezzo finale e serve per remunerare tutti i passaggi della filiera distributiva che comprende sia spese di stoccaggio che di scorte obbligatorie, trasporto, remunerazione del gestore di distribuzione e altri oneri e tasse). Anche il costo dell’energia utilizzato della filiera incide su questo valore.</w:t>
      </w:r>
    </w:p>
    <w:p w14:paraId="777FC895" w14:textId="77777777" w:rsidR="005629D0" w:rsidRDefault="005629D0" w:rsidP="005629D0">
      <w:pPr>
        <w:spacing w:after="120" w:line="254" w:lineRule="auto"/>
        <w:ind w:firstLine="708"/>
        <w:rPr>
          <w:rFonts w:ascii="Calibri" w:eastAsia="Calibri" w:hAnsi="Calibri" w:cs="Times New Roman"/>
          <w:bCs/>
          <w:sz w:val="26"/>
          <w:szCs w:val="26"/>
        </w:rPr>
      </w:pPr>
    </w:p>
    <w:p w14:paraId="49C9A528" w14:textId="77777777" w:rsidR="00CB7859" w:rsidRPr="002C7337" w:rsidRDefault="00CB7859" w:rsidP="002C7337">
      <w:pPr>
        <w:spacing w:after="120"/>
        <w:rPr>
          <w:sz w:val="26"/>
          <w:szCs w:val="26"/>
        </w:rPr>
      </w:pPr>
      <w:r w:rsidRPr="002C7337">
        <w:rPr>
          <w:sz w:val="26"/>
          <w:szCs w:val="26"/>
        </w:rPr>
        <w:t xml:space="preserve">Per mitigare l’incremento del </w:t>
      </w:r>
      <w:r w:rsidRPr="002C7337">
        <w:rPr>
          <w:i/>
          <w:sz w:val="26"/>
          <w:szCs w:val="26"/>
        </w:rPr>
        <w:t>brent</w:t>
      </w:r>
      <w:r w:rsidRPr="002C7337">
        <w:rPr>
          <w:sz w:val="26"/>
          <w:szCs w:val="26"/>
        </w:rPr>
        <w:t xml:space="preserve">, </w:t>
      </w:r>
      <w:r w:rsidRPr="002C7337">
        <w:rPr>
          <w:b/>
          <w:sz w:val="26"/>
          <w:szCs w:val="26"/>
        </w:rPr>
        <w:t>Stati</w:t>
      </w:r>
      <w:r w:rsidRPr="002C7337">
        <w:rPr>
          <w:sz w:val="26"/>
          <w:szCs w:val="26"/>
        </w:rPr>
        <w:t xml:space="preserve"> </w:t>
      </w:r>
      <w:r w:rsidRPr="002C7337">
        <w:rPr>
          <w:b/>
          <w:sz w:val="26"/>
          <w:szCs w:val="26"/>
        </w:rPr>
        <w:t xml:space="preserve">Uniti e Unione Europea </w:t>
      </w:r>
      <w:r w:rsidRPr="002C7337">
        <w:rPr>
          <w:sz w:val="26"/>
          <w:szCs w:val="26"/>
        </w:rPr>
        <w:t xml:space="preserve">hanno operato </w:t>
      </w:r>
      <w:r w:rsidRPr="002C7337">
        <w:rPr>
          <w:b/>
          <w:sz w:val="26"/>
          <w:szCs w:val="26"/>
        </w:rPr>
        <w:t xml:space="preserve">una </w:t>
      </w:r>
      <w:r w:rsidRPr="002C7337">
        <w:rPr>
          <w:b/>
          <w:i/>
          <w:sz w:val="26"/>
          <w:szCs w:val="26"/>
        </w:rPr>
        <w:t>oil release</w:t>
      </w:r>
      <w:r w:rsidRPr="002C7337">
        <w:rPr>
          <w:i/>
          <w:sz w:val="26"/>
          <w:szCs w:val="26"/>
        </w:rPr>
        <w:t>.</w:t>
      </w:r>
      <w:r w:rsidRPr="002C7337">
        <w:rPr>
          <w:sz w:val="26"/>
          <w:szCs w:val="26"/>
        </w:rPr>
        <w:t xml:space="preserve"> In tale contesto, l’Italia ha aderito alla proposta, su base volontaria, di rilascio coordinato di una quota delle proprie scorte petrolifere promossa dall'Agenzia </w:t>
      </w:r>
      <w:r w:rsidRPr="002C7337">
        <w:rPr>
          <w:sz w:val="26"/>
          <w:szCs w:val="26"/>
        </w:rPr>
        <w:lastRenderedPageBreak/>
        <w:t>internazionale dell'Energia, con un contributo di 2,041 milioni di barili, con l’obiettivo di ridurre il picco di prezzi a cui stiamo assistendo a causa degli effetti indiretti di riduzione dell’offerta della Russia conseguenti alle sanzioni applicate a seguito dell’invasione dell’Ucraina.</w:t>
      </w:r>
    </w:p>
    <w:p w14:paraId="57D1D668" w14:textId="77777777" w:rsidR="00CB7859" w:rsidRPr="002C7337" w:rsidRDefault="00CB7859" w:rsidP="002C7337">
      <w:pPr>
        <w:spacing w:after="120"/>
        <w:rPr>
          <w:sz w:val="26"/>
          <w:szCs w:val="26"/>
        </w:rPr>
      </w:pPr>
      <w:r w:rsidRPr="002C7337">
        <w:rPr>
          <w:sz w:val="26"/>
          <w:szCs w:val="26"/>
        </w:rPr>
        <w:t xml:space="preserve">Per l’Italia si tratta di circa 277.000 tonnellate di greggio che comprendono, oltre alla quantità </w:t>
      </w:r>
      <w:r w:rsidRPr="002C7337">
        <w:rPr>
          <w:i/>
          <w:sz w:val="26"/>
          <w:szCs w:val="26"/>
        </w:rPr>
        <w:t>standard</w:t>
      </w:r>
      <w:r w:rsidRPr="002C7337">
        <w:rPr>
          <w:sz w:val="26"/>
          <w:szCs w:val="26"/>
        </w:rPr>
        <w:t xml:space="preserve"> stabilita per il nostro Paese, anche un ulteriore 25 per cento a copertura della quota di quei paesi che non hanno aderito. </w:t>
      </w:r>
    </w:p>
    <w:p w14:paraId="281B3CAF" w14:textId="319DFD1D" w:rsidR="00CB7859" w:rsidRPr="002C7337" w:rsidRDefault="00CB7859" w:rsidP="002C7337">
      <w:pPr>
        <w:spacing w:after="120"/>
        <w:rPr>
          <w:sz w:val="26"/>
          <w:szCs w:val="26"/>
        </w:rPr>
      </w:pPr>
      <w:r w:rsidRPr="002C7337">
        <w:rPr>
          <w:sz w:val="26"/>
          <w:szCs w:val="26"/>
        </w:rPr>
        <w:t xml:space="preserve">Inoltre, al fine di contenere l’impatto sui consumatori finali, il </w:t>
      </w:r>
      <w:r w:rsidRPr="002C7337">
        <w:rPr>
          <w:b/>
          <w:sz w:val="26"/>
          <w:szCs w:val="26"/>
        </w:rPr>
        <w:t>Governo</w:t>
      </w:r>
      <w:r w:rsidRPr="002C7337">
        <w:rPr>
          <w:sz w:val="26"/>
          <w:szCs w:val="26"/>
        </w:rPr>
        <w:t xml:space="preserve"> </w:t>
      </w:r>
      <w:r w:rsidR="00411E5F" w:rsidRPr="002C7337">
        <w:rPr>
          <w:sz w:val="26"/>
          <w:szCs w:val="26"/>
        </w:rPr>
        <w:t xml:space="preserve">ha attuato </w:t>
      </w:r>
      <w:r w:rsidRPr="002C7337">
        <w:rPr>
          <w:sz w:val="26"/>
          <w:szCs w:val="26"/>
        </w:rPr>
        <w:t>l’ipotesi di praticare sui carburanti un’</w:t>
      </w:r>
      <w:r w:rsidRPr="002C7337">
        <w:rPr>
          <w:b/>
          <w:sz w:val="26"/>
          <w:szCs w:val="26"/>
        </w:rPr>
        <w:t>accisa mobile</w:t>
      </w:r>
      <w:r w:rsidR="00411E5F" w:rsidRPr="002C7337">
        <w:rPr>
          <w:b/>
          <w:sz w:val="26"/>
          <w:szCs w:val="26"/>
        </w:rPr>
        <w:t>, che porterà ad una riduzione per il prossimo mese di 25 centesimi di euro al litro, coperto con l’extragettito degli ultimi mesi del 2021 e dei primi mesi del 2022 (DM in corso di firma o di pubblicazione)</w:t>
      </w:r>
      <w:r w:rsidRPr="002C7337">
        <w:rPr>
          <w:sz w:val="26"/>
          <w:szCs w:val="26"/>
        </w:rPr>
        <w:t>.</w:t>
      </w:r>
    </w:p>
    <w:p w14:paraId="59AD0BC0" w14:textId="0126CD99" w:rsidR="00CB7859" w:rsidRDefault="00CB7859" w:rsidP="002C7337">
      <w:pPr>
        <w:spacing w:after="120"/>
        <w:rPr>
          <w:sz w:val="26"/>
          <w:szCs w:val="26"/>
        </w:rPr>
      </w:pPr>
    </w:p>
    <w:p w14:paraId="00EFB8CC" w14:textId="62A42644" w:rsidR="00165D97" w:rsidRPr="002C7337" w:rsidRDefault="009759BC" w:rsidP="00892B1B">
      <w:pPr>
        <w:pStyle w:val="Paragrafoelenco"/>
        <w:numPr>
          <w:ilvl w:val="0"/>
          <w:numId w:val="12"/>
        </w:numPr>
        <w:rPr>
          <w:b/>
          <w:bCs/>
          <w:sz w:val="26"/>
          <w:szCs w:val="26"/>
        </w:rPr>
      </w:pPr>
      <w:r>
        <w:rPr>
          <w:b/>
          <w:bCs/>
          <w:sz w:val="26"/>
          <w:szCs w:val="26"/>
        </w:rPr>
        <w:t>M</w:t>
      </w:r>
      <w:r w:rsidR="00165D97" w:rsidRPr="002C7337">
        <w:rPr>
          <w:b/>
          <w:bCs/>
          <w:sz w:val="26"/>
          <w:szCs w:val="26"/>
        </w:rPr>
        <w:t>isure per contenere l’incremento dei prezzi di energia elettrica e gas naturale</w:t>
      </w:r>
    </w:p>
    <w:bookmarkEnd w:id="5"/>
    <w:p w14:paraId="577BE18A" w14:textId="6CC11049" w:rsidR="001941E8" w:rsidRPr="002C7337" w:rsidRDefault="001941E8" w:rsidP="002C7337">
      <w:pPr>
        <w:pStyle w:val="Default"/>
        <w:spacing w:after="160"/>
        <w:rPr>
          <w:sz w:val="26"/>
          <w:szCs w:val="26"/>
        </w:rPr>
      </w:pPr>
      <w:r w:rsidRPr="002C7337">
        <w:rPr>
          <w:sz w:val="26"/>
          <w:szCs w:val="26"/>
        </w:rPr>
        <w:t xml:space="preserve">Il </w:t>
      </w:r>
      <w:r w:rsidRPr="002C7337">
        <w:rPr>
          <w:b/>
          <w:sz w:val="26"/>
          <w:szCs w:val="26"/>
        </w:rPr>
        <w:t>Governo e il Parlamento sono intervenuti negli ultimi trimestri</w:t>
      </w:r>
      <w:r w:rsidRPr="002C7337">
        <w:rPr>
          <w:sz w:val="26"/>
          <w:szCs w:val="26"/>
        </w:rPr>
        <w:t xml:space="preserve"> per attutire l’impatto dei rincari per 29 milioni di famiglie e 6 milioni di imprese, con un mix di misure per un valore superiore a 15   miliardi di euro in tre trimestri che </w:t>
      </w:r>
      <w:r w:rsidR="00BC5244" w:rsidRPr="002C7337">
        <w:rPr>
          <w:sz w:val="26"/>
          <w:szCs w:val="26"/>
        </w:rPr>
        <w:t xml:space="preserve">ARERA </w:t>
      </w:r>
      <w:r w:rsidRPr="002C7337">
        <w:rPr>
          <w:sz w:val="26"/>
          <w:szCs w:val="26"/>
        </w:rPr>
        <w:t>ha attuato per le componenti regolate e che hanno permesso di:</w:t>
      </w:r>
    </w:p>
    <w:p w14:paraId="468857DB" w14:textId="1EF439E9" w:rsidR="001941E8" w:rsidRPr="002C7337" w:rsidRDefault="001941E8" w:rsidP="00892B1B">
      <w:pPr>
        <w:pStyle w:val="Default"/>
        <w:numPr>
          <w:ilvl w:val="0"/>
          <w:numId w:val="6"/>
        </w:numPr>
        <w:spacing w:after="160"/>
        <w:rPr>
          <w:sz w:val="26"/>
          <w:szCs w:val="26"/>
        </w:rPr>
      </w:pPr>
      <w:r w:rsidRPr="002C7337">
        <w:rPr>
          <w:b/>
          <w:bCs/>
          <w:sz w:val="26"/>
          <w:szCs w:val="26"/>
        </w:rPr>
        <w:t>Annullare transitoriamente gli oneri di sistema</w:t>
      </w:r>
      <w:r w:rsidRPr="002C7337">
        <w:rPr>
          <w:sz w:val="26"/>
          <w:szCs w:val="26"/>
        </w:rPr>
        <w:t xml:space="preserve"> in bolletta per tutti i clienti, anche mediante destinazione del gettito delle quote di emissione di CO</w:t>
      </w:r>
      <w:r w:rsidRPr="002C7337">
        <w:rPr>
          <w:sz w:val="26"/>
          <w:szCs w:val="26"/>
          <w:vertAlign w:val="subscript"/>
        </w:rPr>
        <w:t>2</w:t>
      </w:r>
      <w:r w:rsidRPr="002C7337">
        <w:rPr>
          <w:sz w:val="26"/>
          <w:szCs w:val="26"/>
        </w:rPr>
        <w:t xml:space="preserve"> e impiegando fondi di bilancio per finanziare oneri non afferenti al sistema energetico (</w:t>
      </w:r>
      <w:bookmarkStart w:id="6" w:name="_Hlk96446958"/>
      <w:r w:rsidRPr="002C7337">
        <w:rPr>
          <w:sz w:val="26"/>
          <w:szCs w:val="26"/>
        </w:rPr>
        <w:t>decreto-legge n. 73 del 2021, decreto-legge n. 130 del 2021</w:t>
      </w:r>
      <w:bookmarkEnd w:id="6"/>
      <w:r w:rsidR="00264ECE" w:rsidRPr="002C7337">
        <w:rPr>
          <w:sz w:val="26"/>
          <w:szCs w:val="26"/>
        </w:rPr>
        <w:t xml:space="preserve">, </w:t>
      </w:r>
      <w:r w:rsidRPr="002C7337">
        <w:rPr>
          <w:sz w:val="26"/>
          <w:szCs w:val="26"/>
        </w:rPr>
        <w:t>decreto-legge n. 4 del 2022</w:t>
      </w:r>
      <w:r w:rsidR="00264ECE" w:rsidRPr="002C7337">
        <w:rPr>
          <w:sz w:val="26"/>
          <w:szCs w:val="26"/>
        </w:rPr>
        <w:t xml:space="preserve"> e </w:t>
      </w:r>
      <w:bookmarkStart w:id="7" w:name="_Hlk98148478"/>
      <w:r w:rsidR="00264ECE" w:rsidRPr="002C7337">
        <w:rPr>
          <w:sz w:val="26"/>
          <w:szCs w:val="26"/>
        </w:rPr>
        <w:t>decreto-legge n. 17 del 2022</w:t>
      </w:r>
      <w:bookmarkEnd w:id="7"/>
      <w:r w:rsidRPr="002C7337">
        <w:rPr>
          <w:sz w:val="26"/>
          <w:szCs w:val="26"/>
        </w:rPr>
        <w:t>).</w:t>
      </w:r>
    </w:p>
    <w:p w14:paraId="779F3589" w14:textId="63AF4086" w:rsidR="001941E8" w:rsidRPr="002C7337" w:rsidRDefault="001941E8" w:rsidP="00892B1B">
      <w:pPr>
        <w:pStyle w:val="Default"/>
        <w:numPr>
          <w:ilvl w:val="0"/>
          <w:numId w:val="6"/>
        </w:numPr>
        <w:spacing w:after="160"/>
        <w:rPr>
          <w:sz w:val="26"/>
          <w:szCs w:val="26"/>
        </w:rPr>
      </w:pPr>
      <w:r w:rsidRPr="002C7337">
        <w:rPr>
          <w:b/>
          <w:bCs/>
          <w:sz w:val="26"/>
          <w:szCs w:val="26"/>
        </w:rPr>
        <w:t>Potenziare il bonus sociale</w:t>
      </w:r>
      <w:r w:rsidRPr="002C7337">
        <w:rPr>
          <w:sz w:val="26"/>
          <w:szCs w:val="26"/>
        </w:rPr>
        <w:t xml:space="preserve"> alle famiglie che versano in gravi difficoltà economiche, che in virtù del provvedimento hanno visto completamente compensato l’aumento tariffario (2,5 milioni di famiglie aventi diritto a bonus sociali elettricità e 1,54 milioni di famiglie a bonus gas) (decreto-legge n. 130 del 2021</w:t>
      </w:r>
      <w:r w:rsidR="00264ECE" w:rsidRPr="002C7337">
        <w:rPr>
          <w:sz w:val="26"/>
          <w:szCs w:val="26"/>
        </w:rPr>
        <w:t xml:space="preserve"> e decreto-legge n. 17 del 2022</w:t>
      </w:r>
      <w:r w:rsidRPr="002C7337">
        <w:rPr>
          <w:sz w:val="26"/>
          <w:szCs w:val="26"/>
        </w:rPr>
        <w:t>).</w:t>
      </w:r>
    </w:p>
    <w:p w14:paraId="31D5C5D3" w14:textId="388012F5" w:rsidR="001941E8" w:rsidRPr="002C7337" w:rsidRDefault="001941E8" w:rsidP="00892B1B">
      <w:pPr>
        <w:pStyle w:val="Default"/>
        <w:numPr>
          <w:ilvl w:val="0"/>
          <w:numId w:val="6"/>
        </w:numPr>
        <w:spacing w:after="160"/>
        <w:rPr>
          <w:sz w:val="26"/>
          <w:szCs w:val="26"/>
        </w:rPr>
      </w:pPr>
      <w:r w:rsidRPr="002C7337">
        <w:rPr>
          <w:b/>
          <w:bCs/>
          <w:sz w:val="26"/>
          <w:szCs w:val="26"/>
        </w:rPr>
        <w:t>Ridurre l’Iva sul gas</w:t>
      </w:r>
      <w:r w:rsidRPr="002C7337">
        <w:rPr>
          <w:sz w:val="26"/>
          <w:szCs w:val="26"/>
        </w:rPr>
        <w:t xml:space="preserve"> destinato a usi civili e industriali al 5% (decreto-legge n. 130 del 2021</w:t>
      </w:r>
      <w:r w:rsidR="00264ECE" w:rsidRPr="002C7337">
        <w:rPr>
          <w:sz w:val="26"/>
          <w:szCs w:val="26"/>
        </w:rPr>
        <w:t xml:space="preserve"> e decreto-legge n. 17 del 2022</w:t>
      </w:r>
      <w:r w:rsidRPr="002C7337">
        <w:rPr>
          <w:sz w:val="26"/>
          <w:szCs w:val="26"/>
        </w:rPr>
        <w:t>).</w:t>
      </w:r>
    </w:p>
    <w:p w14:paraId="55EA16AF" w14:textId="73190D56" w:rsidR="00264ECE" w:rsidRPr="002C7337" w:rsidRDefault="00D820E5" w:rsidP="00892B1B">
      <w:pPr>
        <w:pStyle w:val="Default"/>
        <w:numPr>
          <w:ilvl w:val="0"/>
          <w:numId w:val="6"/>
        </w:numPr>
        <w:spacing w:after="160"/>
        <w:rPr>
          <w:sz w:val="26"/>
          <w:szCs w:val="26"/>
        </w:rPr>
      </w:pPr>
      <w:r w:rsidRPr="002C7337">
        <w:rPr>
          <w:b/>
          <w:bCs/>
          <w:sz w:val="26"/>
          <w:szCs w:val="26"/>
        </w:rPr>
        <w:t>Introdurre c</w:t>
      </w:r>
      <w:r w:rsidR="00264ECE" w:rsidRPr="002C7337">
        <w:rPr>
          <w:b/>
          <w:bCs/>
          <w:sz w:val="26"/>
          <w:szCs w:val="26"/>
        </w:rPr>
        <w:t xml:space="preserve">ontributi straordinari, </w:t>
      </w:r>
      <w:r w:rsidR="00264ECE" w:rsidRPr="002C7337">
        <w:rPr>
          <w:bCs/>
          <w:sz w:val="26"/>
          <w:szCs w:val="26"/>
        </w:rPr>
        <w:t>sotto forma di credito di imposta</w:t>
      </w:r>
      <w:r w:rsidR="00264ECE" w:rsidRPr="002C7337">
        <w:rPr>
          <w:b/>
          <w:bCs/>
          <w:sz w:val="26"/>
          <w:szCs w:val="26"/>
        </w:rPr>
        <w:t xml:space="preserve">, </w:t>
      </w:r>
      <w:r w:rsidR="00264ECE" w:rsidRPr="002C7337">
        <w:rPr>
          <w:bCs/>
          <w:sz w:val="26"/>
          <w:szCs w:val="26"/>
        </w:rPr>
        <w:t>a favore delle</w:t>
      </w:r>
      <w:r w:rsidR="00264ECE" w:rsidRPr="002C7337">
        <w:rPr>
          <w:b/>
          <w:bCs/>
          <w:sz w:val="26"/>
          <w:szCs w:val="26"/>
        </w:rPr>
        <w:t xml:space="preserve"> imprese energivore e </w:t>
      </w:r>
      <w:r w:rsidR="00264ECE" w:rsidRPr="002C7337">
        <w:rPr>
          <w:bCs/>
          <w:sz w:val="26"/>
          <w:szCs w:val="26"/>
        </w:rPr>
        <w:t>delle</w:t>
      </w:r>
      <w:r w:rsidR="00264ECE" w:rsidRPr="002C7337">
        <w:rPr>
          <w:b/>
          <w:bCs/>
          <w:sz w:val="26"/>
          <w:szCs w:val="26"/>
        </w:rPr>
        <w:t xml:space="preserve"> imprese a forte consumo di gas naturale </w:t>
      </w:r>
      <w:r w:rsidR="00264ECE" w:rsidRPr="002C7337">
        <w:rPr>
          <w:bCs/>
          <w:sz w:val="26"/>
          <w:szCs w:val="26"/>
        </w:rPr>
        <w:t>(</w:t>
      </w:r>
      <w:r w:rsidR="00264ECE" w:rsidRPr="002C7337">
        <w:rPr>
          <w:sz w:val="26"/>
          <w:szCs w:val="26"/>
        </w:rPr>
        <w:t>decreto-legge n. 17 del 2022).</w:t>
      </w:r>
    </w:p>
    <w:p w14:paraId="10750A00" w14:textId="645A91E6" w:rsidR="00264ECE" w:rsidRPr="002C7337" w:rsidRDefault="00D820E5" w:rsidP="00892B1B">
      <w:pPr>
        <w:pStyle w:val="Default"/>
        <w:numPr>
          <w:ilvl w:val="0"/>
          <w:numId w:val="6"/>
        </w:numPr>
        <w:spacing w:after="160"/>
        <w:rPr>
          <w:sz w:val="26"/>
          <w:szCs w:val="26"/>
        </w:rPr>
      </w:pPr>
      <w:r w:rsidRPr="002C7337">
        <w:rPr>
          <w:b/>
          <w:bCs/>
          <w:sz w:val="26"/>
          <w:szCs w:val="26"/>
        </w:rPr>
        <w:t>Introdurre i</w:t>
      </w:r>
      <w:r w:rsidR="00264ECE" w:rsidRPr="002C7337">
        <w:rPr>
          <w:b/>
          <w:bCs/>
          <w:sz w:val="26"/>
          <w:szCs w:val="26"/>
        </w:rPr>
        <w:t xml:space="preserve">nterventi a favore del settore dell’autotrasporto </w:t>
      </w:r>
      <w:r w:rsidR="00264ECE" w:rsidRPr="002C7337">
        <w:rPr>
          <w:bCs/>
          <w:sz w:val="26"/>
          <w:szCs w:val="26"/>
        </w:rPr>
        <w:t>(</w:t>
      </w:r>
      <w:r w:rsidR="00264ECE" w:rsidRPr="002C7337">
        <w:rPr>
          <w:sz w:val="26"/>
          <w:szCs w:val="26"/>
        </w:rPr>
        <w:t>decreto-legge n. 17 del 2022).</w:t>
      </w:r>
    </w:p>
    <w:p w14:paraId="34BD1C0E" w14:textId="1E1AF985" w:rsidR="00264ECE" w:rsidRPr="002C7337" w:rsidRDefault="00264ECE" w:rsidP="00892B1B">
      <w:pPr>
        <w:pStyle w:val="Default"/>
        <w:numPr>
          <w:ilvl w:val="0"/>
          <w:numId w:val="6"/>
        </w:numPr>
        <w:spacing w:after="160"/>
        <w:rPr>
          <w:sz w:val="26"/>
          <w:szCs w:val="26"/>
        </w:rPr>
      </w:pPr>
      <w:r w:rsidRPr="002C7337">
        <w:rPr>
          <w:b/>
          <w:bCs/>
          <w:sz w:val="26"/>
          <w:szCs w:val="26"/>
        </w:rPr>
        <w:t>Soste</w:t>
      </w:r>
      <w:r w:rsidR="00D820E5" w:rsidRPr="002C7337">
        <w:rPr>
          <w:b/>
          <w:bCs/>
          <w:sz w:val="26"/>
          <w:szCs w:val="26"/>
        </w:rPr>
        <w:t xml:space="preserve">nere </w:t>
      </w:r>
      <w:r w:rsidRPr="002C7337">
        <w:rPr>
          <w:b/>
          <w:bCs/>
          <w:sz w:val="26"/>
          <w:szCs w:val="26"/>
        </w:rPr>
        <w:t xml:space="preserve">le esigenze di liquidità delle imprese </w:t>
      </w:r>
      <w:r w:rsidRPr="002C7337">
        <w:rPr>
          <w:bCs/>
          <w:sz w:val="26"/>
          <w:szCs w:val="26"/>
        </w:rPr>
        <w:t>particolarmente gravate dagli aumenti dei prezzi dell’energia (</w:t>
      </w:r>
      <w:r w:rsidRPr="002C7337">
        <w:rPr>
          <w:sz w:val="26"/>
          <w:szCs w:val="26"/>
        </w:rPr>
        <w:t>decreto-legge n. 17 del 2022).</w:t>
      </w:r>
    </w:p>
    <w:p w14:paraId="71130FA2" w14:textId="071CB947" w:rsidR="001941E8" w:rsidRDefault="001941E8" w:rsidP="00892B1B">
      <w:pPr>
        <w:pStyle w:val="Default"/>
        <w:numPr>
          <w:ilvl w:val="0"/>
          <w:numId w:val="6"/>
        </w:numPr>
        <w:spacing w:after="160"/>
        <w:rPr>
          <w:sz w:val="26"/>
          <w:szCs w:val="26"/>
        </w:rPr>
      </w:pPr>
      <w:r w:rsidRPr="002C7337">
        <w:rPr>
          <w:b/>
          <w:bCs/>
          <w:sz w:val="26"/>
          <w:szCs w:val="26"/>
        </w:rPr>
        <w:lastRenderedPageBreak/>
        <w:t>Intervenire sull’elettricità prodotta da impianti FER</w:t>
      </w:r>
      <w:r w:rsidRPr="002C7337">
        <w:rPr>
          <w:sz w:val="26"/>
          <w:szCs w:val="26"/>
        </w:rPr>
        <w:t xml:space="preserve"> con potenza superiore a 20 kW, senza intervenire sugli impianti, per così dire, “domestici” o comunque per autoproduzione di famiglie e piccole imprese, al fine di </w:t>
      </w:r>
      <w:r w:rsidRPr="002C7337">
        <w:rPr>
          <w:b/>
          <w:bCs/>
          <w:sz w:val="26"/>
          <w:szCs w:val="26"/>
        </w:rPr>
        <w:t>contenere la maggiore reddittività dei produttori</w:t>
      </w:r>
      <w:r w:rsidRPr="002C7337">
        <w:rPr>
          <w:sz w:val="26"/>
          <w:szCs w:val="26"/>
        </w:rPr>
        <w:t xml:space="preserve"> di energia da FER. Maggiore redditività derivante dalla circostanza che, a fronte di un innalzamento del prezzo dell’energia offerta sul mercato, detti produttori, alcuni dei quali peraltro beneficiari di incentivi fissi, non hanno subito maggiori costi di produzione (decreto-legge n. </w:t>
      </w:r>
      <w:r w:rsidR="00572802" w:rsidRPr="002C7337">
        <w:rPr>
          <w:sz w:val="26"/>
          <w:szCs w:val="26"/>
        </w:rPr>
        <w:t>13</w:t>
      </w:r>
      <w:r w:rsidRPr="002C7337">
        <w:rPr>
          <w:sz w:val="26"/>
          <w:szCs w:val="26"/>
        </w:rPr>
        <w:t xml:space="preserve"> del 2022). In particolare</w:t>
      </w:r>
      <w:r w:rsidR="0096333C" w:rsidRPr="002C7337">
        <w:rPr>
          <w:sz w:val="26"/>
          <w:szCs w:val="26"/>
        </w:rPr>
        <w:t>,</w:t>
      </w:r>
      <w:r w:rsidRPr="002C7337">
        <w:rPr>
          <w:sz w:val="26"/>
          <w:szCs w:val="26"/>
        </w:rPr>
        <w:t xml:space="preserve"> con l’ultimo decreto questa misura riguarda esclusivamente impianti pre-2010 </w:t>
      </w:r>
      <w:r w:rsidR="00D820E5" w:rsidRPr="002C7337">
        <w:rPr>
          <w:sz w:val="26"/>
          <w:szCs w:val="26"/>
        </w:rPr>
        <w:t xml:space="preserve">e impianti </w:t>
      </w:r>
      <w:r w:rsidRPr="002C7337">
        <w:rPr>
          <w:sz w:val="26"/>
          <w:szCs w:val="26"/>
        </w:rPr>
        <w:t>a incentivo fisso.</w:t>
      </w:r>
    </w:p>
    <w:p w14:paraId="45EEA980" w14:textId="77777777" w:rsidR="0084045C" w:rsidRDefault="00D71764" w:rsidP="00892B1B">
      <w:pPr>
        <w:pStyle w:val="Default"/>
        <w:numPr>
          <w:ilvl w:val="0"/>
          <w:numId w:val="6"/>
        </w:numPr>
        <w:spacing w:after="160"/>
        <w:rPr>
          <w:sz w:val="26"/>
          <w:szCs w:val="26"/>
        </w:rPr>
      </w:pPr>
      <w:r w:rsidRPr="0084045C">
        <w:rPr>
          <w:sz w:val="26"/>
          <w:szCs w:val="26"/>
        </w:rPr>
        <w:t xml:space="preserve">Da ultimo, con </w:t>
      </w:r>
      <w:r w:rsidRPr="0084045C">
        <w:rPr>
          <w:b/>
          <w:sz w:val="26"/>
          <w:szCs w:val="26"/>
        </w:rPr>
        <w:t>il decreto n. 21 del 2022</w:t>
      </w:r>
      <w:r w:rsidRPr="0084045C">
        <w:rPr>
          <w:sz w:val="26"/>
          <w:szCs w:val="26"/>
        </w:rPr>
        <w:t xml:space="preserve"> sono stati previsti ulteriori interventi per far fronte al rincaro energetico</w:t>
      </w:r>
      <w:r w:rsidR="006E43FF" w:rsidRPr="0084045C">
        <w:rPr>
          <w:sz w:val="26"/>
          <w:szCs w:val="26"/>
        </w:rPr>
        <w:t>, mediante il contenimento dei costi sostenuti per gasolio e benzina, quali la riduzione delle aliquote di accisa sulla benzina e sul gasolio impiegato come carburante e l’erogazione di un bonus carburante ai dipendenti</w:t>
      </w:r>
      <w:r w:rsidR="00560948" w:rsidRPr="0084045C">
        <w:rPr>
          <w:sz w:val="26"/>
          <w:szCs w:val="26"/>
        </w:rPr>
        <w:t xml:space="preserve"> (riduzione di 0,25 € delle accise su gasolio e benzina nel periodo dal 21 marzo al 30 aprile, per complessivi 40 giorni)</w:t>
      </w:r>
      <w:r w:rsidR="0084045C" w:rsidRPr="0084045C">
        <w:rPr>
          <w:sz w:val="26"/>
          <w:szCs w:val="26"/>
        </w:rPr>
        <w:t>.</w:t>
      </w:r>
    </w:p>
    <w:p w14:paraId="21244410" w14:textId="0C702957" w:rsidR="006E43FF" w:rsidRPr="0084045C" w:rsidRDefault="00560948" w:rsidP="00892B1B">
      <w:pPr>
        <w:pStyle w:val="Default"/>
        <w:numPr>
          <w:ilvl w:val="0"/>
          <w:numId w:val="6"/>
        </w:numPr>
        <w:spacing w:after="160"/>
        <w:rPr>
          <w:sz w:val="26"/>
          <w:szCs w:val="26"/>
        </w:rPr>
      </w:pPr>
      <w:r w:rsidRPr="0084045C">
        <w:rPr>
          <w:sz w:val="26"/>
          <w:szCs w:val="26"/>
        </w:rPr>
        <w:t>A favore delle imprese</w:t>
      </w:r>
      <w:r w:rsidR="00D334BD" w:rsidRPr="0084045C">
        <w:rPr>
          <w:sz w:val="26"/>
          <w:szCs w:val="26"/>
        </w:rPr>
        <w:t xml:space="preserve"> che hanno subito aumenti nei costi di luce e gas superiore al 30%</w:t>
      </w:r>
      <w:r w:rsidRPr="0084045C">
        <w:rPr>
          <w:sz w:val="26"/>
          <w:szCs w:val="26"/>
        </w:rPr>
        <w:t xml:space="preserve">, </w:t>
      </w:r>
      <w:r w:rsidR="00D334BD" w:rsidRPr="0084045C">
        <w:rPr>
          <w:sz w:val="26"/>
          <w:szCs w:val="26"/>
        </w:rPr>
        <w:t xml:space="preserve">si </w:t>
      </w:r>
      <w:r w:rsidR="006E43FF" w:rsidRPr="0084045C">
        <w:rPr>
          <w:sz w:val="26"/>
          <w:szCs w:val="26"/>
        </w:rPr>
        <w:t>è previsto un contributo, sotto forma di credito d'imposta</w:t>
      </w:r>
      <w:r w:rsidR="00D334BD" w:rsidRPr="0084045C">
        <w:rPr>
          <w:sz w:val="26"/>
          <w:szCs w:val="26"/>
        </w:rPr>
        <w:t>.</w:t>
      </w:r>
    </w:p>
    <w:p w14:paraId="32F9EF43" w14:textId="547F1655" w:rsidR="006E43FF" w:rsidRPr="006E43FF" w:rsidRDefault="006E43FF" w:rsidP="00892B1B">
      <w:pPr>
        <w:pStyle w:val="Default"/>
        <w:numPr>
          <w:ilvl w:val="0"/>
          <w:numId w:val="6"/>
        </w:numPr>
        <w:rPr>
          <w:sz w:val="26"/>
          <w:szCs w:val="26"/>
        </w:rPr>
      </w:pPr>
      <w:r>
        <w:rPr>
          <w:sz w:val="26"/>
          <w:szCs w:val="26"/>
        </w:rPr>
        <w:t>È stato i</w:t>
      </w:r>
      <w:r w:rsidRPr="006E43FF">
        <w:rPr>
          <w:sz w:val="26"/>
          <w:szCs w:val="26"/>
        </w:rPr>
        <w:t>ncrement</w:t>
      </w:r>
      <w:r w:rsidR="00A36F73">
        <w:rPr>
          <w:sz w:val="26"/>
          <w:szCs w:val="26"/>
        </w:rPr>
        <w:t>at</w:t>
      </w:r>
      <w:r w:rsidRPr="006E43FF">
        <w:rPr>
          <w:sz w:val="26"/>
          <w:szCs w:val="26"/>
        </w:rPr>
        <w:t xml:space="preserve">o </w:t>
      </w:r>
      <w:r w:rsidR="00A36F73">
        <w:rPr>
          <w:sz w:val="26"/>
          <w:szCs w:val="26"/>
        </w:rPr>
        <w:t>i</w:t>
      </w:r>
      <w:r w:rsidRPr="006E43FF">
        <w:rPr>
          <w:sz w:val="26"/>
          <w:szCs w:val="26"/>
        </w:rPr>
        <w:t>l credito d'imposta in favore delle imprese energivore e gasivore</w:t>
      </w:r>
      <w:r w:rsidR="00A36F73">
        <w:rPr>
          <w:sz w:val="26"/>
          <w:szCs w:val="26"/>
        </w:rPr>
        <w:t xml:space="preserve"> ed è stato esteso il b</w:t>
      </w:r>
      <w:r w:rsidRPr="006E43FF">
        <w:rPr>
          <w:sz w:val="26"/>
          <w:szCs w:val="26"/>
        </w:rPr>
        <w:t>onus sociale elettricità e gas</w:t>
      </w:r>
      <w:r w:rsidR="00D334BD">
        <w:rPr>
          <w:sz w:val="26"/>
          <w:szCs w:val="26"/>
        </w:rPr>
        <w:t>, elevando il limite ISEE</w:t>
      </w:r>
      <w:r w:rsidR="00D334BD" w:rsidRPr="00D334BD">
        <w:rPr>
          <w:sz w:val="26"/>
          <w:szCs w:val="26"/>
        </w:rPr>
        <w:t xml:space="preserve"> </w:t>
      </w:r>
      <w:r w:rsidR="00D334BD" w:rsidRPr="00D71764">
        <w:rPr>
          <w:sz w:val="26"/>
          <w:szCs w:val="26"/>
        </w:rPr>
        <w:t>da 8</w:t>
      </w:r>
      <w:r w:rsidR="00D334BD">
        <w:rPr>
          <w:sz w:val="26"/>
          <w:szCs w:val="26"/>
        </w:rPr>
        <w:t>.</w:t>
      </w:r>
      <w:r w:rsidR="00D334BD" w:rsidRPr="00D71764">
        <w:rPr>
          <w:sz w:val="26"/>
          <w:szCs w:val="26"/>
        </w:rPr>
        <w:t>000 € a 12.000 €</w:t>
      </w:r>
      <w:r w:rsidR="00D334BD">
        <w:rPr>
          <w:sz w:val="26"/>
          <w:szCs w:val="26"/>
        </w:rPr>
        <w:t xml:space="preserve"> (ARERA </w:t>
      </w:r>
      <w:r w:rsidR="00D334BD" w:rsidRPr="00D71764">
        <w:rPr>
          <w:sz w:val="26"/>
          <w:szCs w:val="26"/>
        </w:rPr>
        <w:t xml:space="preserve">stima che da questo intervento potranno beneficiare 1,2 milioni di famiglie </w:t>
      </w:r>
      <w:r w:rsidR="00D334BD">
        <w:rPr>
          <w:sz w:val="26"/>
          <w:szCs w:val="26"/>
        </w:rPr>
        <w:t xml:space="preserve">in più, </w:t>
      </w:r>
      <w:r w:rsidR="00D334BD" w:rsidRPr="00D71764">
        <w:rPr>
          <w:sz w:val="26"/>
          <w:szCs w:val="26"/>
        </w:rPr>
        <w:t>per un totale di 5,2 milioni di famiglie</w:t>
      </w:r>
      <w:r w:rsidR="00D334BD">
        <w:rPr>
          <w:sz w:val="26"/>
          <w:szCs w:val="26"/>
        </w:rPr>
        <w:t>).</w:t>
      </w:r>
    </w:p>
    <w:p w14:paraId="773D655A" w14:textId="6CBFB461" w:rsidR="006E43FF" w:rsidRDefault="00A36F73" w:rsidP="00892B1B">
      <w:pPr>
        <w:pStyle w:val="Default"/>
        <w:numPr>
          <w:ilvl w:val="0"/>
          <w:numId w:val="6"/>
        </w:numPr>
        <w:rPr>
          <w:sz w:val="26"/>
          <w:szCs w:val="26"/>
        </w:rPr>
      </w:pPr>
      <w:r>
        <w:rPr>
          <w:sz w:val="26"/>
          <w:szCs w:val="26"/>
        </w:rPr>
        <w:t>Quale m</w:t>
      </w:r>
      <w:r w:rsidR="006E43FF" w:rsidRPr="006E43FF">
        <w:rPr>
          <w:sz w:val="26"/>
          <w:szCs w:val="26"/>
        </w:rPr>
        <w:t>isur</w:t>
      </w:r>
      <w:r>
        <w:rPr>
          <w:sz w:val="26"/>
          <w:szCs w:val="26"/>
        </w:rPr>
        <w:t>a</w:t>
      </w:r>
      <w:r w:rsidR="006E43FF" w:rsidRPr="006E43FF">
        <w:rPr>
          <w:sz w:val="26"/>
          <w:szCs w:val="26"/>
        </w:rPr>
        <w:t xml:space="preserve"> per </w:t>
      </w:r>
      <w:r>
        <w:rPr>
          <w:sz w:val="26"/>
          <w:szCs w:val="26"/>
        </w:rPr>
        <w:t xml:space="preserve">favorire </w:t>
      </w:r>
      <w:r w:rsidR="006E43FF" w:rsidRPr="006E43FF">
        <w:rPr>
          <w:sz w:val="26"/>
          <w:szCs w:val="26"/>
        </w:rPr>
        <w:t>la liquidità delle imprese</w:t>
      </w:r>
      <w:r>
        <w:rPr>
          <w:sz w:val="26"/>
          <w:szCs w:val="26"/>
        </w:rPr>
        <w:t xml:space="preserve"> è stata prevista la r</w:t>
      </w:r>
      <w:r w:rsidR="006E43FF" w:rsidRPr="006E43FF">
        <w:rPr>
          <w:sz w:val="26"/>
          <w:szCs w:val="26"/>
        </w:rPr>
        <w:t xml:space="preserve">ateizzazione delle bollette per i consumi energetici </w:t>
      </w:r>
      <w:r w:rsidR="00D334BD" w:rsidRPr="00D71764">
        <w:rPr>
          <w:sz w:val="26"/>
          <w:szCs w:val="26"/>
        </w:rPr>
        <w:t>fino a 24 mesi</w:t>
      </w:r>
      <w:r w:rsidR="00D334BD" w:rsidRPr="006E43FF">
        <w:rPr>
          <w:sz w:val="26"/>
          <w:szCs w:val="26"/>
        </w:rPr>
        <w:t xml:space="preserve"> </w:t>
      </w:r>
      <w:r w:rsidR="00D334BD">
        <w:rPr>
          <w:sz w:val="26"/>
          <w:szCs w:val="26"/>
        </w:rPr>
        <w:t>ed è stato istituito</w:t>
      </w:r>
      <w:r w:rsidR="006E43FF" w:rsidRPr="006E43FF">
        <w:rPr>
          <w:sz w:val="26"/>
          <w:szCs w:val="26"/>
        </w:rPr>
        <w:t xml:space="preserve"> </w:t>
      </w:r>
      <w:r>
        <w:rPr>
          <w:sz w:val="26"/>
          <w:szCs w:val="26"/>
        </w:rPr>
        <w:t xml:space="preserve">un apposito </w:t>
      </w:r>
      <w:r w:rsidR="006E43FF" w:rsidRPr="006E43FF">
        <w:rPr>
          <w:sz w:val="26"/>
          <w:szCs w:val="26"/>
        </w:rPr>
        <w:t>Fondo di garanzia PMI</w:t>
      </w:r>
      <w:r>
        <w:rPr>
          <w:sz w:val="26"/>
          <w:szCs w:val="26"/>
        </w:rPr>
        <w:t>.</w:t>
      </w:r>
    </w:p>
    <w:p w14:paraId="2F7D27FE" w14:textId="793DBED7" w:rsidR="006E43FF" w:rsidRPr="006E43FF" w:rsidRDefault="00A36F73" w:rsidP="00892B1B">
      <w:pPr>
        <w:pStyle w:val="Default"/>
        <w:numPr>
          <w:ilvl w:val="0"/>
          <w:numId w:val="6"/>
        </w:numPr>
        <w:rPr>
          <w:sz w:val="26"/>
          <w:szCs w:val="26"/>
        </w:rPr>
      </w:pPr>
      <w:r>
        <w:rPr>
          <w:sz w:val="26"/>
          <w:szCs w:val="26"/>
        </w:rPr>
        <w:t>È stata prevista la c</w:t>
      </w:r>
      <w:r w:rsidR="006E43FF" w:rsidRPr="006E43FF">
        <w:rPr>
          <w:sz w:val="26"/>
          <w:szCs w:val="26"/>
        </w:rPr>
        <w:t xml:space="preserve">edibilità </w:t>
      </w:r>
      <w:r w:rsidR="00D334BD" w:rsidRPr="00D71764">
        <w:rPr>
          <w:sz w:val="26"/>
          <w:szCs w:val="26"/>
        </w:rPr>
        <w:t>al sistema bancario</w:t>
      </w:r>
      <w:r w:rsidR="00D334BD" w:rsidRPr="006E43FF">
        <w:rPr>
          <w:sz w:val="26"/>
          <w:szCs w:val="26"/>
        </w:rPr>
        <w:t xml:space="preserve"> </w:t>
      </w:r>
      <w:r w:rsidR="006E43FF" w:rsidRPr="006E43FF">
        <w:rPr>
          <w:sz w:val="26"/>
          <w:szCs w:val="26"/>
        </w:rPr>
        <w:t>de</w:t>
      </w:r>
      <w:r w:rsidR="00D334BD">
        <w:rPr>
          <w:sz w:val="26"/>
          <w:szCs w:val="26"/>
        </w:rPr>
        <w:t>l</w:t>
      </w:r>
      <w:r w:rsidR="006E43FF" w:rsidRPr="006E43FF">
        <w:rPr>
          <w:sz w:val="26"/>
          <w:szCs w:val="26"/>
        </w:rPr>
        <w:t xml:space="preserve"> credit</w:t>
      </w:r>
      <w:r w:rsidR="00D334BD">
        <w:rPr>
          <w:sz w:val="26"/>
          <w:szCs w:val="26"/>
        </w:rPr>
        <w:t>o</w:t>
      </w:r>
      <w:r w:rsidR="006E43FF" w:rsidRPr="006E43FF">
        <w:rPr>
          <w:sz w:val="26"/>
          <w:szCs w:val="26"/>
        </w:rPr>
        <w:t xml:space="preserve"> di imposta </w:t>
      </w:r>
      <w:r w:rsidR="00D334BD">
        <w:rPr>
          <w:sz w:val="26"/>
          <w:szCs w:val="26"/>
        </w:rPr>
        <w:t>(</w:t>
      </w:r>
      <w:r w:rsidR="00D334BD" w:rsidRPr="00D71764">
        <w:rPr>
          <w:sz w:val="26"/>
          <w:szCs w:val="26"/>
        </w:rPr>
        <w:t>per un massimo di tre cessioni</w:t>
      </w:r>
      <w:r w:rsidR="00D334BD">
        <w:rPr>
          <w:sz w:val="26"/>
          <w:szCs w:val="26"/>
        </w:rPr>
        <w:t>)</w:t>
      </w:r>
      <w:r w:rsidR="00D334BD" w:rsidRPr="006E43FF">
        <w:rPr>
          <w:sz w:val="26"/>
          <w:szCs w:val="26"/>
        </w:rPr>
        <w:t xml:space="preserve"> </w:t>
      </w:r>
      <w:r w:rsidR="006E43FF" w:rsidRPr="006E43FF">
        <w:rPr>
          <w:sz w:val="26"/>
          <w:szCs w:val="26"/>
        </w:rPr>
        <w:t>riconosciuto alle imprese energivore e alle imprese a forte consumo di gas naturale</w:t>
      </w:r>
      <w:r>
        <w:rPr>
          <w:sz w:val="26"/>
          <w:szCs w:val="26"/>
        </w:rPr>
        <w:t>.</w:t>
      </w:r>
    </w:p>
    <w:p w14:paraId="6F741124" w14:textId="77777777" w:rsidR="006E43FF" w:rsidRPr="006E43FF" w:rsidRDefault="006E43FF" w:rsidP="006E43FF">
      <w:pPr>
        <w:pStyle w:val="Default"/>
        <w:rPr>
          <w:sz w:val="26"/>
          <w:szCs w:val="26"/>
        </w:rPr>
      </w:pPr>
    </w:p>
    <w:p w14:paraId="58C260E4" w14:textId="77777777" w:rsidR="00D71764" w:rsidRPr="002C7337" w:rsidRDefault="00D71764" w:rsidP="00D71764">
      <w:pPr>
        <w:pStyle w:val="Default"/>
        <w:spacing w:after="160"/>
        <w:rPr>
          <w:sz w:val="26"/>
          <w:szCs w:val="26"/>
        </w:rPr>
      </w:pPr>
    </w:p>
    <w:p w14:paraId="1FFF4D39" w14:textId="453D7761" w:rsidR="00F629AD" w:rsidRPr="002C7337" w:rsidRDefault="00F5213D" w:rsidP="002C7337">
      <w:pPr>
        <w:pStyle w:val="Default"/>
        <w:spacing w:after="160"/>
        <w:rPr>
          <w:sz w:val="26"/>
          <w:szCs w:val="26"/>
        </w:rPr>
      </w:pPr>
      <w:r w:rsidRPr="002C7337">
        <w:rPr>
          <w:b/>
          <w:bCs/>
          <w:sz w:val="26"/>
          <w:szCs w:val="26"/>
        </w:rPr>
        <w:t xml:space="preserve">In parallelo è stata avviata una discussione </w:t>
      </w:r>
      <w:r w:rsidR="001941E8" w:rsidRPr="002C7337">
        <w:rPr>
          <w:b/>
          <w:bCs/>
          <w:sz w:val="26"/>
          <w:szCs w:val="26"/>
        </w:rPr>
        <w:t>a livello europeo</w:t>
      </w:r>
      <w:r w:rsidR="00101814" w:rsidRPr="002C7337">
        <w:rPr>
          <w:b/>
          <w:bCs/>
          <w:sz w:val="26"/>
          <w:szCs w:val="26"/>
        </w:rPr>
        <w:t xml:space="preserve"> </w:t>
      </w:r>
      <w:r w:rsidR="00101814" w:rsidRPr="002C7337">
        <w:rPr>
          <w:sz w:val="26"/>
          <w:szCs w:val="26"/>
        </w:rPr>
        <w:t>su possibili misure</w:t>
      </w:r>
      <w:r w:rsidR="000306D0" w:rsidRPr="002C7337">
        <w:rPr>
          <w:sz w:val="26"/>
          <w:szCs w:val="26"/>
        </w:rPr>
        <w:t xml:space="preserve"> </w:t>
      </w:r>
      <w:r w:rsidR="0084045C" w:rsidRPr="0084045C">
        <w:rPr>
          <w:b/>
          <w:sz w:val="26"/>
          <w:szCs w:val="26"/>
        </w:rPr>
        <w:t>STRUTTURALI</w:t>
      </w:r>
      <w:r w:rsidR="0084045C">
        <w:rPr>
          <w:sz w:val="26"/>
          <w:szCs w:val="26"/>
        </w:rPr>
        <w:t xml:space="preserve"> </w:t>
      </w:r>
      <w:r w:rsidR="000306D0" w:rsidRPr="002C7337">
        <w:rPr>
          <w:sz w:val="26"/>
          <w:szCs w:val="26"/>
        </w:rPr>
        <w:t xml:space="preserve">per contenere l’incremento dei </w:t>
      </w:r>
      <w:r w:rsidR="000306D0" w:rsidRPr="002C7337">
        <w:rPr>
          <w:b/>
          <w:bCs/>
          <w:sz w:val="26"/>
          <w:szCs w:val="26"/>
        </w:rPr>
        <w:t>prezzi</w:t>
      </w:r>
      <w:r w:rsidR="000461D5" w:rsidRPr="002C7337">
        <w:rPr>
          <w:b/>
          <w:bCs/>
          <w:sz w:val="26"/>
          <w:szCs w:val="26"/>
        </w:rPr>
        <w:t xml:space="preserve"> </w:t>
      </w:r>
      <w:r w:rsidRPr="002C7337">
        <w:rPr>
          <w:b/>
          <w:bCs/>
          <w:sz w:val="26"/>
          <w:szCs w:val="26"/>
        </w:rPr>
        <w:t>tramite</w:t>
      </w:r>
      <w:r w:rsidR="00101814" w:rsidRPr="002C7337">
        <w:rPr>
          <w:b/>
          <w:bCs/>
          <w:sz w:val="26"/>
          <w:szCs w:val="26"/>
        </w:rPr>
        <w:t xml:space="preserve"> il</w:t>
      </w:r>
      <w:r w:rsidR="000461D5" w:rsidRPr="002C7337">
        <w:rPr>
          <w:b/>
          <w:bCs/>
          <w:sz w:val="26"/>
          <w:szCs w:val="26"/>
        </w:rPr>
        <w:t xml:space="preserve"> pacchetto </w:t>
      </w:r>
      <w:r w:rsidR="000461D5" w:rsidRPr="002C7337">
        <w:rPr>
          <w:b/>
          <w:bCs/>
          <w:i/>
          <w:iCs/>
          <w:sz w:val="26"/>
          <w:szCs w:val="26"/>
        </w:rPr>
        <w:t>REPowerEU</w:t>
      </w:r>
      <w:r w:rsidR="00F629AD" w:rsidRPr="002C7337">
        <w:rPr>
          <w:sz w:val="26"/>
          <w:szCs w:val="26"/>
        </w:rPr>
        <w:t>, quali</w:t>
      </w:r>
      <w:r w:rsidR="002D3B34" w:rsidRPr="002C7337">
        <w:rPr>
          <w:sz w:val="26"/>
          <w:szCs w:val="26"/>
        </w:rPr>
        <w:t xml:space="preserve"> ad esempio</w:t>
      </w:r>
      <w:r w:rsidR="00F629AD" w:rsidRPr="002C7337">
        <w:rPr>
          <w:sz w:val="26"/>
          <w:szCs w:val="26"/>
        </w:rPr>
        <w:t>:</w:t>
      </w:r>
    </w:p>
    <w:p w14:paraId="5A17FCE0" w14:textId="64A96B7B" w:rsidR="00F629AD" w:rsidRPr="002C7337" w:rsidRDefault="00F629AD" w:rsidP="00892B1B">
      <w:pPr>
        <w:pStyle w:val="Default"/>
        <w:numPr>
          <w:ilvl w:val="0"/>
          <w:numId w:val="8"/>
        </w:numPr>
        <w:spacing w:after="160"/>
        <w:rPr>
          <w:sz w:val="26"/>
          <w:szCs w:val="26"/>
        </w:rPr>
      </w:pPr>
      <w:r w:rsidRPr="002C7337">
        <w:rPr>
          <w:sz w:val="26"/>
          <w:szCs w:val="26"/>
        </w:rPr>
        <w:t xml:space="preserve">Misure per mitigare l’impatto sui </w:t>
      </w:r>
      <w:r w:rsidRPr="002C7337">
        <w:rPr>
          <w:b/>
          <w:bCs/>
          <w:sz w:val="26"/>
          <w:szCs w:val="26"/>
        </w:rPr>
        <w:t xml:space="preserve">prezzi </w:t>
      </w:r>
      <w:r w:rsidR="00B905D1" w:rsidRPr="002C7337">
        <w:rPr>
          <w:b/>
          <w:bCs/>
          <w:sz w:val="26"/>
          <w:szCs w:val="26"/>
        </w:rPr>
        <w:t>residenziali e per piccole imprese</w:t>
      </w:r>
      <w:r w:rsidR="002D3B34" w:rsidRPr="002C7337">
        <w:rPr>
          <w:b/>
          <w:bCs/>
          <w:sz w:val="26"/>
          <w:szCs w:val="26"/>
        </w:rPr>
        <w:t>.</w:t>
      </w:r>
    </w:p>
    <w:p w14:paraId="2F8F088D" w14:textId="528D3D40" w:rsidR="00F629AD" w:rsidRPr="002C7337" w:rsidRDefault="00B905D1" w:rsidP="00892B1B">
      <w:pPr>
        <w:pStyle w:val="Default"/>
        <w:numPr>
          <w:ilvl w:val="0"/>
          <w:numId w:val="8"/>
        </w:numPr>
        <w:spacing w:after="160"/>
        <w:rPr>
          <w:sz w:val="26"/>
          <w:szCs w:val="26"/>
        </w:rPr>
      </w:pPr>
      <w:r w:rsidRPr="002C7337">
        <w:rPr>
          <w:sz w:val="26"/>
          <w:szCs w:val="26"/>
        </w:rPr>
        <w:t xml:space="preserve">Regole per </w:t>
      </w:r>
      <w:r w:rsidRPr="002C7337">
        <w:rPr>
          <w:b/>
          <w:bCs/>
          <w:sz w:val="26"/>
          <w:szCs w:val="26"/>
        </w:rPr>
        <w:t>Aiuti di Stato</w:t>
      </w:r>
      <w:r w:rsidRPr="002C7337">
        <w:rPr>
          <w:sz w:val="26"/>
          <w:szCs w:val="26"/>
        </w:rPr>
        <w:t xml:space="preserve"> che consentano di far fronte agli elevati costi energetici per imprese</w:t>
      </w:r>
      <w:r w:rsidR="002D3B34" w:rsidRPr="002C7337">
        <w:rPr>
          <w:sz w:val="26"/>
          <w:szCs w:val="26"/>
        </w:rPr>
        <w:t>.</w:t>
      </w:r>
    </w:p>
    <w:p w14:paraId="2B9BA616" w14:textId="0F73ABDA" w:rsidR="00F629AD" w:rsidRPr="002C7337" w:rsidRDefault="00B905D1" w:rsidP="00892B1B">
      <w:pPr>
        <w:pStyle w:val="Default"/>
        <w:numPr>
          <w:ilvl w:val="0"/>
          <w:numId w:val="8"/>
        </w:numPr>
        <w:spacing w:after="160"/>
        <w:rPr>
          <w:sz w:val="26"/>
          <w:szCs w:val="26"/>
        </w:rPr>
      </w:pPr>
      <w:r w:rsidRPr="002C7337">
        <w:rPr>
          <w:sz w:val="26"/>
          <w:szCs w:val="26"/>
        </w:rPr>
        <w:t xml:space="preserve">Misure per </w:t>
      </w:r>
      <w:r w:rsidRPr="002C7337">
        <w:rPr>
          <w:b/>
          <w:bCs/>
          <w:sz w:val="26"/>
          <w:szCs w:val="26"/>
        </w:rPr>
        <w:t>tassazione di extra-profitti</w:t>
      </w:r>
      <w:r w:rsidRPr="002C7337">
        <w:rPr>
          <w:sz w:val="26"/>
          <w:szCs w:val="26"/>
        </w:rPr>
        <w:t xml:space="preserve"> per finanziare le misure di supporto</w:t>
      </w:r>
      <w:r w:rsidR="002D3B34" w:rsidRPr="002C7337">
        <w:rPr>
          <w:sz w:val="26"/>
          <w:szCs w:val="26"/>
        </w:rPr>
        <w:t>.</w:t>
      </w:r>
    </w:p>
    <w:p w14:paraId="4591C270" w14:textId="204253F5" w:rsidR="00F5213D" w:rsidRPr="002C7337" w:rsidRDefault="00F5213D" w:rsidP="002C7337">
      <w:pPr>
        <w:pStyle w:val="Default"/>
        <w:spacing w:after="160"/>
        <w:rPr>
          <w:sz w:val="26"/>
          <w:szCs w:val="26"/>
        </w:rPr>
      </w:pPr>
      <w:r w:rsidRPr="002C7337">
        <w:rPr>
          <w:sz w:val="26"/>
          <w:szCs w:val="26"/>
        </w:rPr>
        <w:t>In questo contesto, il Governo italiano ha proposto misure strutturali che includono:</w:t>
      </w:r>
    </w:p>
    <w:p w14:paraId="2F0ECC1A" w14:textId="41BAE607" w:rsidR="00101814" w:rsidRPr="002C7337" w:rsidRDefault="00F5213D" w:rsidP="00892B1B">
      <w:pPr>
        <w:pStyle w:val="Default"/>
        <w:numPr>
          <w:ilvl w:val="0"/>
          <w:numId w:val="7"/>
        </w:numPr>
        <w:spacing w:after="160"/>
        <w:rPr>
          <w:sz w:val="26"/>
          <w:szCs w:val="26"/>
        </w:rPr>
      </w:pPr>
      <w:r w:rsidRPr="002C7337">
        <w:rPr>
          <w:sz w:val="26"/>
          <w:szCs w:val="26"/>
        </w:rPr>
        <w:t xml:space="preserve">Un </w:t>
      </w:r>
      <w:r w:rsidRPr="002C7337">
        <w:rPr>
          <w:b/>
          <w:bCs/>
          <w:i/>
          <w:iCs/>
          <w:sz w:val="26"/>
          <w:szCs w:val="26"/>
        </w:rPr>
        <w:t xml:space="preserve">price cap </w:t>
      </w:r>
      <w:r w:rsidRPr="002C7337">
        <w:rPr>
          <w:b/>
          <w:bCs/>
          <w:sz w:val="26"/>
          <w:szCs w:val="26"/>
        </w:rPr>
        <w:t>a livello europeo</w:t>
      </w:r>
      <w:r w:rsidRPr="002C7337">
        <w:rPr>
          <w:sz w:val="26"/>
          <w:szCs w:val="26"/>
        </w:rPr>
        <w:t xml:space="preserve"> </w:t>
      </w:r>
      <w:r w:rsidRPr="002C7337">
        <w:rPr>
          <w:b/>
          <w:bCs/>
          <w:sz w:val="26"/>
          <w:szCs w:val="26"/>
        </w:rPr>
        <w:t xml:space="preserve">temporaneo </w:t>
      </w:r>
      <w:r w:rsidRPr="002C7337">
        <w:rPr>
          <w:sz w:val="26"/>
          <w:szCs w:val="26"/>
        </w:rPr>
        <w:t xml:space="preserve">sulle transazioni di gas naturale all’ingrosso. Questa misura, oltre a portare beneficio diretto ai consumatori di gas, </w:t>
      </w:r>
      <w:r w:rsidRPr="002C7337">
        <w:rPr>
          <w:sz w:val="26"/>
          <w:szCs w:val="26"/>
        </w:rPr>
        <w:lastRenderedPageBreak/>
        <w:t xml:space="preserve">porterebbe anche </w:t>
      </w:r>
      <w:r w:rsidRPr="002C7337">
        <w:rPr>
          <w:b/>
          <w:bCs/>
          <w:sz w:val="26"/>
          <w:szCs w:val="26"/>
        </w:rPr>
        <w:t>notevoli benefici sui prezzi del mercato</w:t>
      </w:r>
      <w:r w:rsidRPr="002C7337">
        <w:rPr>
          <w:sz w:val="26"/>
          <w:szCs w:val="26"/>
        </w:rPr>
        <w:t xml:space="preserve"> </w:t>
      </w:r>
      <w:r w:rsidRPr="002C7337">
        <w:rPr>
          <w:b/>
          <w:bCs/>
          <w:sz w:val="26"/>
          <w:szCs w:val="26"/>
        </w:rPr>
        <w:t>elettrico</w:t>
      </w:r>
      <w:r w:rsidRPr="002C7337">
        <w:rPr>
          <w:sz w:val="26"/>
          <w:szCs w:val="26"/>
        </w:rPr>
        <w:t xml:space="preserve"> all’ingrosso – dove</w:t>
      </w:r>
      <w:r w:rsidR="007C775F" w:rsidRPr="002C7337">
        <w:rPr>
          <w:sz w:val="26"/>
          <w:szCs w:val="26"/>
        </w:rPr>
        <w:t xml:space="preserve"> come illustrato</w:t>
      </w:r>
      <w:r w:rsidRPr="002C7337">
        <w:rPr>
          <w:sz w:val="26"/>
          <w:szCs w:val="26"/>
        </w:rPr>
        <w:t xml:space="preserve"> il prezzo marginale viene fissato </w:t>
      </w:r>
      <w:r w:rsidR="00101814" w:rsidRPr="002C7337">
        <w:rPr>
          <w:sz w:val="26"/>
          <w:szCs w:val="26"/>
        </w:rPr>
        <w:t xml:space="preserve">in molte ore </w:t>
      </w:r>
      <w:r w:rsidRPr="002C7337">
        <w:rPr>
          <w:sz w:val="26"/>
          <w:szCs w:val="26"/>
        </w:rPr>
        <w:t>da</w:t>
      </w:r>
      <w:r w:rsidR="00101814" w:rsidRPr="002C7337">
        <w:rPr>
          <w:sz w:val="26"/>
          <w:szCs w:val="26"/>
        </w:rPr>
        <w:t xml:space="preserve"> generazione termoelettrica a gas.</w:t>
      </w:r>
    </w:p>
    <w:p w14:paraId="5DCAE66A" w14:textId="6BF48E0D" w:rsidR="00165D97" w:rsidRPr="002C7337" w:rsidRDefault="00101814" w:rsidP="00892B1B">
      <w:pPr>
        <w:pStyle w:val="Default"/>
        <w:numPr>
          <w:ilvl w:val="0"/>
          <w:numId w:val="7"/>
        </w:numPr>
        <w:spacing w:after="120"/>
        <w:rPr>
          <w:b/>
          <w:bCs/>
          <w:sz w:val="26"/>
          <w:szCs w:val="26"/>
        </w:rPr>
      </w:pPr>
      <w:r w:rsidRPr="002C7337">
        <w:rPr>
          <w:sz w:val="26"/>
          <w:szCs w:val="26"/>
        </w:rPr>
        <w:t xml:space="preserve">Il </w:t>
      </w:r>
      <w:r w:rsidRPr="002C7337">
        <w:rPr>
          <w:b/>
          <w:bCs/>
          <w:sz w:val="26"/>
          <w:szCs w:val="26"/>
        </w:rPr>
        <w:t xml:space="preserve">disaccoppiamento dei prezzi di vendita </w:t>
      </w:r>
      <w:r w:rsidR="007C775F" w:rsidRPr="002C7337">
        <w:rPr>
          <w:b/>
          <w:bCs/>
          <w:sz w:val="26"/>
          <w:szCs w:val="26"/>
        </w:rPr>
        <w:t>dell’energia prodotta da</w:t>
      </w:r>
      <w:r w:rsidRPr="002C7337">
        <w:rPr>
          <w:b/>
          <w:bCs/>
          <w:sz w:val="26"/>
          <w:szCs w:val="26"/>
        </w:rPr>
        <w:t xml:space="preserve"> tecnologie rinnovabili</w:t>
      </w:r>
      <w:r w:rsidRPr="002C7337">
        <w:rPr>
          <w:sz w:val="26"/>
          <w:szCs w:val="26"/>
        </w:rPr>
        <w:t xml:space="preserve"> elettriche rispetto a quelli del parco termoelettrico, mediante opportuna revisione delle </w:t>
      </w:r>
      <w:r w:rsidRPr="002C7337">
        <w:rPr>
          <w:b/>
          <w:sz w:val="26"/>
          <w:szCs w:val="26"/>
        </w:rPr>
        <w:t xml:space="preserve">regole di </w:t>
      </w:r>
      <w:r w:rsidRPr="002C7337">
        <w:rPr>
          <w:b/>
          <w:i/>
          <w:sz w:val="26"/>
          <w:szCs w:val="26"/>
        </w:rPr>
        <w:t>market design</w:t>
      </w:r>
      <w:r w:rsidRPr="002C7337">
        <w:rPr>
          <w:sz w:val="26"/>
          <w:szCs w:val="26"/>
        </w:rPr>
        <w:t>.</w:t>
      </w:r>
      <w:r w:rsidR="00F5213D" w:rsidRPr="002C7337">
        <w:rPr>
          <w:sz w:val="26"/>
          <w:szCs w:val="26"/>
        </w:rPr>
        <w:t xml:space="preserve"> </w:t>
      </w:r>
    </w:p>
    <w:p w14:paraId="6F9975E5" w14:textId="780CCB65" w:rsidR="002C7337" w:rsidRPr="002C7337" w:rsidRDefault="002C7337" w:rsidP="002C7337">
      <w:pPr>
        <w:rPr>
          <w:sz w:val="26"/>
          <w:szCs w:val="26"/>
        </w:rPr>
      </w:pPr>
      <w:r w:rsidRPr="002C7337">
        <w:rPr>
          <w:sz w:val="26"/>
          <w:szCs w:val="26"/>
        </w:rPr>
        <w:t xml:space="preserve">In tale contesto, si sottolinea che le </w:t>
      </w:r>
      <w:r w:rsidRPr="002C7337">
        <w:rPr>
          <w:b/>
          <w:bCs/>
          <w:sz w:val="26"/>
          <w:szCs w:val="26"/>
        </w:rPr>
        <w:t>misure del PNRR contribuiscono in modo strutturale</w:t>
      </w:r>
      <w:r w:rsidRPr="002C7337">
        <w:rPr>
          <w:sz w:val="26"/>
          <w:szCs w:val="26"/>
        </w:rPr>
        <w:t xml:space="preserve"> alla riduzione della dipendenza energetica ed all’efficientamento del sistema (e.g. tramite l’accelerazione delle rinnovabili elettriche, il rafforzamento dell’efficientamento energetico, la diffusione del biometano).</w:t>
      </w:r>
    </w:p>
    <w:p w14:paraId="32EECF61" w14:textId="62AA52EC" w:rsidR="002C7337" w:rsidRPr="002C7337" w:rsidRDefault="002C7337" w:rsidP="001272D8">
      <w:pPr>
        <w:rPr>
          <w:sz w:val="26"/>
          <w:szCs w:val="26"/>
        </w:rPr>
      </w:pPr>
      <w:r w:rsidRPr="002C7337">
        <w:rPr>
          <w:b/>
          <w:bCs/>
          <w:sz w:val="26"/>
          <w:szCs w:val="26"/>
        </w:rPr>
        <w:t xml:space="preserve">Non si prevedono </w:t>
      </w:r>
      <w:r w:rsidR="001272D8">
        <w:rPr>
          <w:b/>
          <w:bCs/>
          <w:sz w:val="26"/>
          <w:szCs w:val="26"/>
        </w:rPr>
        <w:t xml:space="preserve">al momento </w:t>
      </w:r>
      <w:r w:rsidRPr="002C7337">
        <w:rPr>
          <w:b/>
          <w:bCs/>
          <w:sz w:val="26"/>
          <w:szCs w:val="26"/>
        </w:rPr>
        <w:t xml:space="preserve">ritardi </w:t>
      </w:r>
      <w:r w:rsidRPr="002C7337">
        <w:rPr>
          <w:sz w:val="26"/>
          <w:szCs w:val="26"/>
        </w:rPr>
        <w:t>rispetto al percorso stabilito. Nei prossimi giorni (5 - 10) saranno</w:t>
      </w:r>
      <w:r w:rsidR="001272D8">
        <w:rPr>
          <w:sz w:val="26"/>
          <w:szCs w:val="26"/>
        </w:rPr>
        <w:t xml:space="preserve"> infine</w:t>
      </w:r>
      <w:r w:rsidRPr="002C7337">
        <w:rPr>
          <w:sz w:val="26"/>
          <w:szCs w:val="26"/>
        </w:rPr>
        <w:t xml:space="preserve"> avviate alcune procedure importanti</w:t>
      </w:r>
      <w:r w:rsidR="001272D8">
        <w:rPr>
          <w:sz w:val="26"/>
          <w:szCs w:val="26"/>
        </w:rPr>
        <w:t>, tra i quali</w:t>
      </w:r>
      <w:r w:rsidRPr="002C7337">
        <w:rPr>
          <w:sz w:val="26"/>
          <w:szCs w:val="26"/>
        </w:rPr>
        <w:t xml:space="preserve"> la realizzazione degli impianti di trattamento/riciclo nei settori produttivi individuati nel Piano d'azione per l'economia circolare d</w:t>
      </w:r>
      <w:r w:rsidR="00CA671E">
        <w:rPr>
          <w:sz w:val="26"/>
          <w:szCs w:val="26"/>
        </w:rPr>
        <w:t>e</w:t>
      </w:r>
      <w:r w:rsidRPr="002C7337">
        <w:rPr>
          <w:sz w:val="26"/>
          <w:szCs w:val="26"/>
        </w:rPr>
        <w:t xml:space="preserve">ll’UE, </w:t>
      </w:r>
      <w:r w:rsidR="001272D8">
        <w:rPr>
          <w:sz w:val="26"/>
          <w:szCs w:val="26"/>
        </w:rPr>
        <w:t xml:space="preserve">che </w:t>
      </w:r>
      <w:r w:rsidRPr="001272D8">
        <w:rPr>
          <w:sz w:val="26"/>
          <w:szCs w:val="26"/>
        </w:rPr>
        <w:t>interessano</w:t>
      </w:r>
      <w:r w:rsidRPr="00CA671E">
        <w:rPr>
          <w:b/>
          <w:sz w:val="26"/>
          <w:szCs w:val="26"/>
        </w:rPr>
        <w:t xml:space="preserve"> filiere energivore</w:t>
      </w:r>
      <w:r w:rsidRPr="002C7337">
        <w:rPr>
          <w:sz w:val="26"/>
          <w:szCs w:val="26"/>
        </w:rPr>
        <w:t>.</w:t>
      </w:r>
    </w:p>
    <w:p w14:paraId="055F0D52" w14:textId="004887D7" w:rsidR="00767D3D" w:rsidRDefault="00767D3D">
      <w:pPr>
        <w:rPr>
          <w:rFonts w:ascii="Calibri" w:hAnsi="Calibri" w:cs="Calibri"/>
          <w:b/>
          <w:bCs/>
          <w:color w:val="000000"/>
          <w:sz w:val="26"/>
          <w:szCs w:val="26"/>
        </w:rPr>
      </w:pPr>
    </w:p>
    <w:bookmarkEnd w:id="0"/>
    <w:p w14:paraId="6992D840" w14:textId="77777777" w:rsidR="00101814" w:rsidRPr="002C7337" w:rsidRDefault="00101814" w:rsidP="002C7337">
      <w:pPr>
        <w:pStyle w:val="Default"/>
        <w:spacing w:after="120"/>
        <w:ind w:left="720"/>
        <w:rPr>
          <w:b/>
          <w:bCs/>
          <w:sz w:val="26"/>
          <w:szCs w:val="26"/>
        </w:rPr>
      </w:pPr>
    </w:p>
    <w:sectPr w:rsidR="00101814" w:rsidRPr="002C7337" w:rsidSect="00D62801">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44570" w14:textId="77777777" w:rsidR="00954B5A" w:rsidRDefault="00954B5A" w:rsidP="003F6EF0">
      <w:pPr>
        <w:spacing w:after="0" w:line="240" w:lineRule="auto"/>
      </w:pPr>
      <w:r>
        <w:separator/>
      </w:r>
    </w:p>
  </w:endnote>
  <w:endnote w:type="continuationSeparator" w:id="0">
    <w:p w14:paraId="009611D6" w14:textId="77777777" w:rsidR="00954B5A" w:rsidRDefault="00954B5A" w:rsidP="003F6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501670"/>
      <w:docPartObj>
        <w:docPartGallery w:val="Page Numbers (Bottom of Page)"/>
        <w:docPartUnique/>
      </w:docPartObj>
    </w:sdtPr>
    <w:sdtEndPr/>
    <w:sdtContent>
      <w:p w14:paraId="1C012370" w14:textId="1DFE5138" w:rsidR="00E477F0" w:rsidRDefault="00CF0C9F">
        <w:pPr>
          <w:pStyle w:val="Pidipagina"/>
          <w:jc w:val="right"/>
        </w:pPr>
        <w:r>
          <w:fldChar w:fldCharType="begin"/>
        </w:r>
        <w:r>
          <w:instrText>PAGE   \* MERGEFORMAT</w:instrText>
        </w:r>
        <w:r>
          <w:fldChar w:fldCharType="separate"/>
        </w:r>
        <w:r w:rsidR="00CE5EBC">
          <w:rPr>
            <w:noProof/>
          </w:rPr>
          <w:t>1</w:t>
        </w:r>
        <w:r>
          <w:rPr>
            <w:noProof/>
          </w:rPr>
          <w:fldChar w:fldCharType="end"/>
        </w:r>
      </w:p>
    </w:sdtContent>
  </w:sdt>
  <w:p w14:paraId="72B936E8" w14:textId="77777777" w:rsidR="00E477F0" w:rsidRDefault="00E477F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F988E" w14:textId="77777777" w:rsidR="00954B5A" w:rsidRDefault="00954B5A" w:rsidP="003F6EF0">
      <w:pPr>
        <w:spacing w:after="0" w:line="240" w:lineRule="auto"/>
      </w:pPr>
      <w:r>
        <w:separator/>
      </w:r>
    </w:p>
  </w:footnote>
  <w:footnote w:type="continuationSeparator" w:id="0">
    <w:p w14:paraId="108D7434" w14:textId="77777777" w:rsidR="00954B5A" w:rsidRDefault="00954B5A" w:rsidP="003F6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4FD"/>
    <w:multiLevelType w:val="hybridMultilevel"/>
    <w:tmpl w:val="40E06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0353AE"/>
    <w:multiLevelType w:val="hybridMultilevel"/>
    <w:tmpl w:val="31DAE7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7859E3"/>
    <w:multiLevelType w:val="hybridMultilevel"/>
    <w:tmpl w:val="2C287BA4"/>
    <w:lvl w:ilvl="0" w:tplc="A1B4F728">
      <w:start w:val="1"/>
      <w:numFmt w:val="decimal"/>
      <w:lvlText w:val="%1."/>
      <w:lvlJc w:val="left"/>
      <w:pPr>
        <w:ind w:left="1070" w:hanging="360"/>
      </w:pPr>
      <w:rPr>
        <w:rFonts w:hint="default"/>
        <w:b/>
        <w:sz w:val="24"/>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3" w15:restartNumberingAfterBreak="0">
    <w:nsid w:val="0D9B1C18"/>
    <w:multiLevelType w:val="hybridMultilevel"/>
    <w:tmpl w:val="179C076A"/>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F04DB3"/>
    <w:multiLevelType w:val="hybridMultilevel"/>
    <w:tmpl w:val="BA2CBF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102132"/>
    <w:multiLevelType w:val="hybridMultilevel"/>
    <w:tmpl w:val="2C287BA4"/>
    <w:lvl w:ilvl="0" w:tplc="A1B4F728">
      <w:start w:val="1"/>
      <w:numFmt w:val="decimal"/>
      <w:lvlText w:val="%1."/>
      <w:lvlJc w:val="left"/>
      <w:pPr>
        <w:ind w:left="360" w:hanging="360"/>
      </w:pPr>
      <w:rPr>
        <w:rFonts w:hint="default"/>
        <w:b/>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3141266"/>
    <w:multiLevelType w:val="hybridMultilevel"/>
    <w:tmpl w:val="2794C590"/>
    <w:lvl w:ilvl="0" w:tplc="D4AA0F4E">
      <w:start w:val="1"/>
      <w:numFmt w:val="bullet"/>
      <w:lvlText w:val="•"/>
      <w:lvlJc w:val="left"/>
      <w:pPr>
        <w:tabs>
          <w:tab w:val="num" w:pos="720"/>
        </w:tabs>
        <w:ind w:left="720" w:hanging="360"/>
      </w:pPr>
      <w:rPr>
        <w:rFonts w:ascii="Arial" w:hAnsi="Arial" w:hint="default"/>
      </w:rPr>
    </w:lvl>
    <w:lvl w:ilvl="1" w:tplc="91B2F52E" w:tentative="1">
      <w:start w:val="1"/>
      <w:numFmt w:val="bullet"/>
      <w:lvlText w:val="•"/>
      <w:lvlJc w:val="left"/>
      <w:pPr>
        <w:tabs>
          <w:tab w:val="num" w:pos="1440"/>
        </w:tabs>
        <w:ind w:left="1440" w:hanging="360"/>
      </w:pPr>
      <w:rPr>
        <w:rFonts w:ascii="Arial" w:hAnsi="Arial" w:hint="default"/>
      </w:rPr>
    </w:lvl>
    <w:lvl w:ilvl="2" w:tplc="A6FC87D8" w:tentative="1">
      <w:start w:val="1"/>
      <w:numFmt w:val="bullet"/>
      <w:lvlText w:val="•"/>
      <w:lvlJc w:val="left"/>
      <w:pPr>
        <w:tabs>
          <w:tab w:val="num" w:pos="2160"/>
        </w:tabs>
        <w:ind w:left="2160" w:hanging="360"/>
      </w:pPr>
      <w:rPr>
        <w:rFonts w:ascii="Arial" w:hAnsi="Arial" w:hint="default"/>
      </w:rPr>
    </w:lvl>
    <w:lvl w:ilvl="3" w:tplc="0C06ABA6" w:tentative="1">
      <w:start w:val="1"/>
      <w:numFmt w:val="bullet"/>
      <w:lvlText w:val="•"/>
      <w:lvlJc w:val="left"/>
      <w:pPr>
        <w:tabs>
          <w:tab w:val="num" w:pos="2880"/>
        </w:tabs>
        <w:ind w:left="2880" w:hanging="360"/>
      </w:pPr>
      <w:rPr>
        <w:rFonts w:ascii="Arial" w:hAnsi="Arial" w:hint="default"/>
      </w:rPr>
    </w:lvl>
    <w:lvl w:ilvl="4" w:tplc="73F4B6E8" w:tentative="1">
      <w:start w:val="1"/>
      <w:numFmt w:val="bullet"/>
      <w:lvlText w:val="•"/>
      <w:lvlJc w:val="left"/>
      <w:pPr>
        <w:tabs>
          <w:tab w:val="num" w:pos="3600"/>
        </w:tabs>
        <w:ind w:left="3600" w:hanging="360"/>
      </w:pPr>
      <w:rPr>
        <w:rFonts w:ascii="Arial" w:hAnsi="Arial" w:hint="default"/>
      </w:rPr>
    </w:lvl>
    <w:lvl w:ilvl="5" w:tplc="516863E6" w:tentative="1">
      <w:start w:val="1"/>
      <w:numFmt w:val="bullet"/>
      <w:lvlText w:val="•"/>
      <w:lvlJc w:val="left"/>
      <w:pPr>
        <w:tabs>
          <w:tab w:val="num" w:pos="4320"/>
        </w:tabs>
        <w:ind w:left="4320" w:hanging="360"/>
      </w:pPr>
      <w:rPr>
        <w:rFonts w:ascii="Arial" w:hAnsi="Arial" w:hint="default"/>
      </w:rPr>
    </w:lvl>
    <w:lvl w:ilvl="6" w:tplc="DCAE96EA" w:tentative="1">
      <w:start w:val="1"/>
      <w:numFmt w:val="bullet"/>
      <w:lvlText w:val="•"/>
      <w:lvlJc w:val="left"/>
      <w:pPr>
        <w:tabs>
          <w:tab w:val="num" w:pos="5040"/>
        </w:tabs>
        <w:ind w:left="5040" w:hanging="360"/>
      </w:pPr>
      <w:rPr>
        <w:rFonts w:ascii="Arial" w:hAnsi="Arial" w:hint="default"/>
      </w:rPr>
    </w:lvl>
    <w:lvl w:ilvl="7" w:tplc="1F9E5D8C" w:tentative="1">
      <w:start w:val="1"/>
      <w:numFmt w:val="bullet"/>
      <w:lvlText w:val="•"/>
      <w:lvlJc w:val="left"/>
      <w:pPr>
        <w:tabs>
          <w:tab w:val="num" w:pos="5760"/>
        </w:tabs>
        <w:ind w:left="5760" w:hanging="360"/>
      </w:pPr>
      <w:rPr>
        <w:rFonts w:ascii="Arial" w:hAnsi="Arial" w:hint="default"/>
      </w:rPr>
    </w:lvl>
    <w:lvl w:ilvl="8" w:tplc="577494C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CBB74A2"/>
    <w:multiLevelType w:val="hybridMultilevel"/>
    <w:tmpl w:val="4120BFD6"/>
    <w:lvl w:ilvl="0" w:tplc="FFFFFFFF">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F2D3809"/>
    <w:multiLevelType w:val="hybridMultilevel"/>
    <w:tmpl w:val="E30287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57412EDA"/>
    <w:multiLevelType w:val="hybridMultilevel"/>
    <w:tmpl w:val="2C287BA4"/>
    <w:lvl w:ilvl="0" w:tplc="A1B4F728">
      <w:start w:val="1"/>
      <w:numFmt w:val="decimal"/>
      <w:lvlText w:val="%1."/>
      <w:lvlJc w:val="left"/>
      <w:pPr>
        <w:ind w:left="1070" w:hanging="360"/>
      </w:pPr>
      <w:rPr>
        <w:rFonts w:hint="default"/>
        <w:b/>
        <w:sz w:val="24"/>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0" w15:restartNumberingAfterBreak="0">
    <w:nsid w:val="654C582C"/>
    <w:multiLevelType w:val="hybridMultilevel"/>
    <w:tmpl w:val="A3988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FB65820"/>
    <w:multiLevelType w:val="hybridMultilevel"/>
    <w:tmpl w:val="037292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74F65D58"/>
    <w:multiLevelType w:val="hybridMultilevel"/>
    <w:tmpl w:val="6D1E7D38"/>
    <w:lvl w:ilvl="0" w:tplc="FFFFFFFF">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C2908C8"/>
    <w:multiLevelType w:val="hybridMultilevel"/>
    <w:tmpl w:val="BEBE120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
  </w:num>
  <w:num w:numId="4">
    <w:abstractNumId w:val="1"/>
  </w:num>
  <w:num w:numId="5">
    <w:abstractNumId w:val="7"/>
  </w:num>
  <w:num w:numId="6">
    <w:abstractNumId w:val="4"/>
  </w:num>
  <w:num w:numId="7">
    <w:abstractNumId w:val="0"/>
  </w:num>
  <w:num w:numId="8">
    <w:abstractNumId w:val="10"/>
  </w:num>
  <w:num w:numId="9">
    <w:abstractNumId w:val="3"/>
  </w:num>
  <w:num w:numId="10">
    <w:abstractNumId w:val="5"/>
  </w:num>
  <w:num w:numId="11">
    <w:abstractNumId w:val="6"/>
  </w:num>
  <w:num w:numId="12">
    <w:abstractNumId w:val="9"/>
  </w:num>
  <w:num w:numId="13">
    <w:abstractNumId w:val="8"/>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3B"/>
    <w:rsid w:val="00003758"/>
    <w:rsid w:val="000051BA"/>
    <w:rsid w:val="00017658"/>
    <w:rsid w:val="000254A6"/>
    <w:rsid w:val="00025AEE"/>
    <w:rsid w:val="000306D0"/>
    <w:rsid w:val="00032A2E"/>
    <w:rsid w:val="0004312E"/>
    <w:rsid w:val="00043ACE"/>
    <w:rsid w:val="000461D5"/>
    <w:rsid w:val="00056393"/>
    <w:rsid w:val="000600FF"/>
    <w:rsid w:val="00061DB4"/>
    <w:rsid w:val="00064336"/>
    <w:rsid w:val="00074F86"/>
    <w:rsid w:val="0008202C"/>
    <w:rsid w:val="000A22A6"/>
    <w:rsid w:val="000A28A4"/>
    <w:rsid w:val="000A2F58"/>
    <w:rsid w:val="000D4CA7"/>
    <w:rsid w:val="000E1EBC"/>
    <w:rsid w:val="000E4C69"/>
    <w:rsid w:val="000E7A82"/>
    <w:rsid w:val="000F1B32"/>
    <w:rsid w:val="00100004"/>
    <w:rsid w:val="0010000C"/>
    <w:rsid w:val="0010158E"/>
    <w:rsid w:val="00101814"/>
    <w:rsid w:val="0010269A"/>
    <w:rsid w:val="00114674"/>
    <w:rsid w:val="00124EFD"/>
    <w:rsid w:val="001272D8"/>
    <w:rsid w:val="00132791"/>
    <w:rsid w:val="00135758"/>
    <w:rsid w:val="00165A5C"/>
    <w:rsid w:val="00165D97"/>
    <w:rsid w:val="00176719"/>
    <w:rsid w:val="00177992"/>
    <w:rsid w:val="0018327B"/>
    <w:rsid w:val="001909A6"/>
    <w:rsid w:val="00193135"/>
    <w:rsid w:val="001933D3"/>
    <w:rsid w:val="001941E8"/>
    <w:rsid w:val="00194851"/>
    <w:rsid w:val="001A173A"/>
    <w:rsid w:val="001B07BA"/>
    <w:rsid w:val="001B3026"/>
    <w:rsid w:val="001B3DF2"/>
    <w:rsid w:val="001B49AC"/>
    <w:rsid w:val="001B5350"/>
    <w:rsid w:val="001C057B"/>
    <w:rsid w:val="001C25AA"/>
    <w:rsid w:val="001C5B4D"/>
    <w:rsid w:val="001C6C6D"/>
    <w:rsid w:val="001D17B9"/>
    <w:rsid w:val="001D5053"/>
    <w:rsid w:val="001D5565"/>
    <w:rsid w:val="001D78B5"/>
    <w:rsid w:val="001E672C"/>
    <w:rsid w:val="001E7148"/>
    <w:rsid w:val="001E7246"/>
    <w:rsid w:val="001F41F2"/>
    <w:rsid w:val="002075BF"/>
    <w:rsid w:val="00214A3D"/>
    <w:rsid w:val="00221D5D"/>
    <w:rsid w:val="00231CE3"/>
    <w:rsid w:val="0023200F"/>
    <w:rsid w:val="0023331A"/>
    <w:rsid w:val="00241996"/>
    <w:rsid w:val="00243D89"/>
    <w:rsid w:val="00252C31"/>
    <w:rsid w:val="00254CB6"/>
    <w:rsid w:val="00257C90"/>
    <w:rsid w:val="00261148"/>
    <w:rsid w:val="0026268E"/>
    <w:rsid w:val="00264ECE"/>
    <w:rsid w:val="00286275"/>
    <w:rsid w:val="002927A2"/>
    <w:rsid w:val="0029759C"/>
    <w:rsid w:val="002A071E"/>
    <w:rsid w:val="002A3A3C"/>
    <w:rsid w:val="002B312D"/>
    <w:rsid w:val="002B6533"/>
    <w:rsid w:val="002B6C42"/>
    <w:rsid w:val="002C11CF"/>
    <w:rsid w:val="002C6267"/>
    <w:rsid w:val="002C7337"/>
    <w:rsid w:val="002D3B34"/>
    <w:rsid w:val="002D535B"/>
    <w:rsid w:val="002D57EF"/>
    <w:rsid w:val="002D6286"/>
    <w:rsid w:val="002D6D3B"/>
    <w:rsid w:val="002E2077"/>
    <w:rsid w:val="002E22C4"/>
    <w:rsid w:val="002E46F8"/>
    <w:rsid w:val="002E6765"/>
    <w:rsid w:val="002F0694"/>
    <w:rsid w:val="00300810"/>
    <w:rsid w:val="0030605C"/>
    <w:rsid w:val="00311850"/>
    <w:rsid w:val="00314C73"/>
    <w:rsid w:val="0032018E"/>
    <w:rsid w:val="00325508"/>
    <w:rsid w:val="00325FFA"/>
    <w:rsid w:val="00326BBF"/>
    <w:rsid w:val="00327EE1"/>
    <w:rsid w:val="003370D4"/>
    <w:rsid w:val="00343167"/>
    <w:rsid w:val="003473A3"/>
    <w:rsid w:val="003503DD"/>
    <w:rsid w:val="003700A3"/>
    <w:rsid w:val="0037180F"/>
    <w:rsid w:val="00387854"/>
    <w:rsid w:val="00391F9B"/>
    <w:rsid w:val="00393E78"/>
    <w:rsid w:val="003A69A6"/>
    <w:rsid w:val="003A6A53"/>
    <w:rsid w:val="003B17EB"/>
    <w:rsid w:val="003B2CCD"/>
    <w:rsid w:val="003B4CBF"/>
    <w:rsid w:val="003B6A2C"/>
    <w:rsid w:val="003C0FF0"/>
    <w:rsid w:val="003D0621"/>
    <w:rsid w:val="003D29B5"/>
    <w:rsid w:val="003D5120"/>
    <w:rsid w:val="003E5BF2"/>
    <w:rsid w:val="003E7EA7"/>
    <w:rsid w:val="003F6EF0"/>
    <w:rsid w:val="00411C63"/>
    <w:rsid w:val="00411E5F"/>
    <w:rsid w:val="00411FDC"/>
    <w:rsid w:val="0042013A"/>
    <w:rsid w:val="00425F6A"/>
    <w:rsid w:val="00443C11"/>
    <w:rsid w:val="00452906"/>
    <w:rsid w:val="0046133E"/>
    <w:rsid w:val="00464AB7"/>
    <w:rsid w:val="004710B1"/>
    <w:rsid w:val="00471795"/>
    <w:rsid w:val="00473099"/>
    <w:rsid w:val="00477DF3"/>
    <w:rsid w:val="00493AFB"/>
    <w:rsid w:val="00497AD7"/>
    <w:rsid w:val="004A4299"/>
    <w:rsid w:val="004A449D"/>
    <w:rsid w:val="004C0ED8"/>
    <w:rsid w:val="004C3EC0"/>
    <w:rsid w:val="004E043C"/>
    <w:rsid w:val="004F5B11"/>
    <w:rsid w:val="005003F2"/>
    <w:rsid w:val="00500E3B"/>
    <w:rsid w:val="00521B06"/>
    <w:rsid w:val="005220B4"/>
    <w:rsid w:val="00540712"/>
    <w:rsid w:val="00540DEA"/>
    <w:rsid w:val="00552CE8"/>
    <w:rsid w:val="00554149"/>
    <w:rsid w:val="005566F0"/>
    <w:rsid w:val="00560948"/>
    <w:rsid w:val="00562534"/>
    <w:rsid w:val="005627A6"/>
    <w:rsid w:val="005629D0"/>
    <w:rsid w:val="00564EEF"/>
    <w:rsid w:val="00572802"/>
    <w:rsid w:val="00581F4E"/>
    <w:rsid w:val="00587113"/>
    <w:rsid w:val="00587323"/>
    <w:rsid w:val="005A0637"/>
    <w:rsid w:val="005B25A5"/>
    <w:rsid w:val="005C1143"/>
    <w:rsid w:val="005C6EE2"/>
    <w:rsid w:val="005C7E70"/>
    <w:rsid w:val="005D0406"/>
    <w:rsid w:val="005D6556"/>
    <w:rsid w:val="005D7AF4"/>
    <w:rsid w:val="005E216E"/>
    <w:rsid w:val="005E4A46"/>
    <w:rsid w:val="005F0DF6"/>
    <w:rsid w:val="005F3B80"/>
    <w:rsid w:val="0060348A"/>
    <w:rsid w:val="00603B59"/>
    <w:rsid w:val="00604758"/>
    <w:rsid w:val="00604925"/>
    <w:rsid w:val="00611AF5"/>
    <w:rsid w:val="006131F8"/>
    <w:rsid w:val="00634338"/>
    <w:rsid w:val="00635A42"/>
    <w:rsid w:val="006401D0"/>
    <w:rsid w:val="00640466"/>
    <w:rsid w:val="00646A77"/>
    <w:rsid w:val="006505E8"/>
    <w:rsid w:val="00653482"/>
    <w:rsid w:val="00655C0C"/>
    <w:rsid w:val="00664672"/>
    <w:rsid w:val="006673B8"/>
    <w:rsid w:val="00674DDD"/>
    <w:rsid w:val="0069625D"/>
    <w:rsid w:val="006A270F"/>
    <w:rsid w:val="006A5308"/>
    <w:rsid w:val="006C5100"/>
    <w:rsid w:val="006C6340"/>
    <w:rsid w:val="006E1C6D"/>
    <w:rsid w:val="006E3D14"/>
    <w:rsid w:val="006E43FF"/>
    <w:rsid w:val="006F284A"/>
    <w:rsid w:val="006F44A6"/>
    <w:rsid w:val="006F6204"/>
    <w:rsid w:val="006F7F85"/>
    <w:rsid w:val="007139BB"/>
    <w:rsid w:val="007263BB"/>
    <w:rsid w:val="0072762B"/>
    <w:rsid w:val="007341AD"/>
    <w:rsid w:val="00740607"/>
    <w:rsid w:val="00747541"/>
    <w:rsid w:val="00747E23"/>
    <w:rsid w:val="00761508"/>
    <w:rsid w:val="00763029"/>
    <w:rsid w:val="00767D3D"/>
    <w:rsid w:val="00772D06"/>
    <w:rsid w:val="007A04DD"/>
    <w:rsid w:val="007A176A"/>
    <w:rsid w:val="007A1A72"/>
    <w:rsid w:val="007A3BA7"/>
    <w:rsid w:val="007A66F4"/>
    <w:rsid w:val="007B0C62"/>
    <w:rsid w:val="007B1CE0"/>
    <w:rsid w:val="007B6197"/>
    <w:rsid w:val="007C5300"/>
    <w:rsid w:val="007C775F"/>
    <w:rsid w:val="007D12FD"/>
    <w:rsid w:val="007D3CAF"/>
    <w:rsid w:val="007D3F35"/>
    <w:rsid w:val="007D4ED9"/>
    <w:rsid w:val="007E1131"/>
    <w:rsid w:val="007F0479"/>
    <w:rsid w:val="007F3559"/>
    <w:rsid w:val="008064BF"/>
    <w:rsid w:val="00810230"/>
    <w:rsid w:val="008116C5"/>
    <w:rsid w:val="008122A9"/>
    <w:rsid w:val="008226EA"/>
    <w:rsid w:val="008232AC"/>
    <w:rsid w:val="008247E1"/>
    <w:rsid w:val="00835914"/>
    <w:rsid w:val="0084045C"/>
    <w:rsid w:val="008433B8"/>
    <w:rsid w:val="00846E78"/>
    <w:rsid w:val="00850156"/>
    <w:rsid w:val="00850C29"/>
    <w:rsid w:val="00871AD1"/>
    <w:rsid w:val="008726F5"/>
    <w:rsid w:val="00873F09"/>
    <w:rsid w:val="0088127D"/>
    <w:rsid w:val="008829B4"/>
    <w:rsid w:val="0089154F"/>
    <w:rsid w:val="00892B1B"/>
    <w:rsid w:val="0089473D"/>
    <w:rsid w:val="00896001"/>
    <w:rsid w:val="008B2237"/>
    <w:rsid w:val="008B7247"/>
    <w:rsid w:val="008C0371"/>
    <w:rsid w:val="008C0FDE"/>
    <w:rsid w:val="008E2FA2"/>
    <w:rsid w:val="008E442A"/>
    <w:rsid w:val="00905012"/>
    <w:rsid w:val="009073FE"/>
    <w:rsid w:val="00911183"/>
    <w:rsid w:val="00931F1A"/>
    <w:rsid w:val="00937561"/>
    <w:rsid w:val="0094533B"/>
    <w:rsid w:val="00954B5A"/>
    <w:rsid w:val="0096333C"/>
    <w:rsid w:val="00963CA6"/>
    <w:rsid w:val="009759BC"/>
    <w:rsid w:val="00977A46"/>
    <w:rsid w:val="00990BCF"/>
    <w:rsid w:val="009A19D2"/>
    <w:rsid w:val="009A5DA5"/>
    <w:rsid w:val="009B33BF"/>
    <w:rsid w:val="009B4FD6"/>
    <w:rsid w:val="009B7B33"/>
    <w:rsid w:val="009C38CE"/>
    <w:rsid w:val="009C72FB"/>
    <w:rsid w:val="009C7C63"/>
    <w:rsid w:val="009D6AA7"/>
    <w:rsid w:val="009D7CCD"/>
    <w:rsid w:val="009E3292"/>
    <w:rsid w:val="009E5307"/>
    <w:rsid w:val="009E793A"/>
    <w:rsid w:val="009F03CF"/>
    <w:rsid w:val="009F2B8B"/>
    <w:rsid w:val="009F3FFC"/>
    <w:rsid w:val="00A05D37"/>
    <w:rsid w:val="00A07553"/>
    <w:rsid w:val="00A137DA"/>
    <w:rsid w:val="00A16295"/>
    <w:rsid w:val="00A16445"/>
    <w:rsid w:val="00A17E72"/>
    <w:rsid w:val="00A20011"/>
    <w:rsid w:val="00A24297"/>
    <w:rsid w:val="00A24753"/>
    <w:rsid w:val="00A278DD"/>
    <w:rsid w:val="00A36019"/>
    <w:rsid w:val="00A36F73"/>
    <w:rsid w:val="00A41C35"/>
    <w:rsid w:val="00A521B9"/>
    <w:rsid w:val="00A5302E"/>
    <w:rsid w:val="00A57B20"/>
    <w:rsid w:val="00A70ED0"/>
    <w:rsid w:val="00A85DF8"/>
    <w:rsid w:val="00A87BD6"/>
    <w:rsid w:val="00A953C5"/>
    <w:rsid w:val="00AB0130"/>
    <w:rsid w:val="00AB1333"/>
    <w:rsid w:val="00AB171D"/>
    <w:rsid w:val="00AB2295"/>
    <w:rsid w:val="00AC2699"/>
    <w:rsid w:val="00AD601D"/>
    <w:rsid w:val="00AE37AF"/>
    <w:rsid w:val="00AE5B2E"/>
    <w:rsid w:val="00AE63EA"/>
    <w:rsid w:val="00AF6B7C"/>
    <w:rsid w:val="00AF7B3B"/>
    <w:rsid w:val="00B03C2D"/>
    <w:rsid w:val="00B21E74"/>
    <w:rsid w:val="00B22280"/>
    <w:rsid w:val="00B229AC"/>
    <w:rsid w:val="00B279B9"/>
    <w:rsid w:val="00B431A1"/>
    <w:rsid w:val="00B4354B"/>
    <w:rsid w:val="00B43744"/>
    <w:rsid w:val="00B4548B"/>
    <w:rsid w:val="00B458C2"/>
    <w:rsid w:val="00B46063"/>
    <w:rsid w:val="00B503C2"/>
    <w:rsid w:val="00B56350"/>
    <w:rsid w:val="00B62F3F"/>
    <w:rsid w:val="00B754BB"/>
    <w:rsid w:val="00B75803"/>
    <w:rsid w:val="00B75F05"/>
    <w:rsid w:val="00B81B63"/>
    <w:rsid w:val="00B905D1"/>
    <w:rsid w:val="00BA7AF0"/>
    <w:rsid w:val="00BB1671"/>
    <w:rsid w:val="00BB1C35"/>
    <w:rsid w:val="00BB29B7"/>
    <w:rsid w:val="00BB4831"/>
    <w:rsid w:val="00BC1B7F"/>
    <w:rsid w:val="00BC5244"/>
    <w:rsid w:val="00BC7377"/>
    <w:rsid w:val="00BD28E6"/>
    <w:rsid w:val="00BD44E5"/>
    <w:rsid w:val="00BD5944"/>
    <w:rsid w:val="00BE4D19"/>
    <w:rsid w:val="00BE587B"/>
    <w:rsid w:val="00BF0A3A"/>
    <w:rsid w:val="00BF15A2"/>
    <w:rsid w:val="00BF2933"/>
    <w:rsid w:val="00C02785"/>
    <w:rsid w:val="00C03FC7"/>
    <w:rsid w:val="00C13F5E"/>
    <w:rsid w:val="00C152BA"/>
    <w:rsid w:val="00C31CB6"/>
    <w:rsid w:val="00C372AB"/>
    <w:rsid w:val="00C52C62"/>
    <w:rsid w:val="00C53401"/>
    <w:rsid w:val="00C56114"/>
    <w:rsid w:val="00C56851"/>
    <w:rsid w:val="00C621B7"/>
    <w:rsid w:val="00C701C9"/>
    <w:rsid w:val="00C77626"/>
    <w:rsid w:val="00C81680"/>
    <w:rsid w:val="00C86AB1"/>
    <w:rsid w:val="00C8776D"/>
    <w:rsid w:val="00CA671E"/>
    <w:rsid w:val="00CA719A"/>
    <w:rsid w:val="00CB246A"/>
    <w:rsid w:val="00CB7859"/>
    <w:rsid w:val="00CC063F"/>
    <w:rsid w:val="00CC321F"/>
    <w:rsid w:val="00CC6312"/>
    <w:rsid w:val="00CD02C5"/>
    <w:rsid w:val="00CE32E5"/>
    <w:rsid w:val="00CE4D99"/>
    <w:rsid w:val="00CE5EBC"/>
    <w:rsid w:val="00CE6024"/>
    <w:rsid w:val="00CF07A4"/>
    <w:rsid w:val="00CF0C9F"/>
    <w:rsid w:val="00CF49FB"/>
    <w:rsid w:val="00CF4CCC"/>
    <w:rsid w:val="00D03FAD"/>
    <w:rsid w:val="00D1182E"/>
    <w:rsid w:val="00D16841"/>
    <w:rsid w:val="00D211AA"/>
    <w:rsid w:val="00D31C74"/>
    <w:rsid w:val="00D32660"/>
    <w:rsid w:val="00D334BD"/>
    <w:rsid w:val="00D41A04"/>
    <w:rsid w:val="00D4511D"/>
    <w:rsid w:val="00D45977"/>
    <w:rsid w:val="00D62801"/>
    <w:rsid w:val="00D653AF"/>
    <w:rsid w:val="00D71764"/>
    <w:rsid w:val="00D820E5"/>
    <w:rsid w:val="00D861B5"/>
    <w:rsid w:val="00D94637"/>
    <w:rsid w:val="00D9550A"/>
    <w:rsid w:val="00D9695D"/>
    <w:rsid w:val="00D9788E"/>
    <w:rsid w:val="00DA156C"/>
    <w:rsid w:val="00DA47E1"/>
    <w:rsid w:val="00DA6E6B"/>
    <w:rsid w:val="00DC575D"/>
    <w:rsid w:val="00DD15BE"/>
    <w:rsid w:val="00DE023A"/>
    <w:rsid w:val="00DF0636"/>
    <w:rsid w:val="00DF084D"/>
    <w:rsid w:val="00DF4C07"/>
    <w:rsid w:val="00E040EA"/>
    <w:rsid w:val="00E20650"/>
    <w:rsid w:val="00E23928"/>
    <w:rsid w:val="00E25422"/>
    <w:rsid w:val="00E256A4"/>
    <w:rsid w:val="00E320CE"/>
    <w:rsid w:val="00E404F7"/>
    <w:rsid w:val="00E44C81"/>
    <w:rsid w:val="00E477F0"/>
    <w:rsid w:val="00E5393B"/>
    <w:rsid w:val="00E55E66"/>
    <w:rsid w:val="00E56108"/>
    <w:rsid w:val="00E63506"/>
    <w:rsid w:val="00E73D06"/>
    <w:rsid w:val="00E81CF5"/>
    <w:rsid w:val="00E84125"/>
    <w:rsid w:val="00E85326"/>
    <w:rsid w:val="00E870CB"/>
    <w:rsid w:val="00E91398"/>
    <w:rsid w:val="00E91AAC"/>
    <w:rsid w:val="00E955FD"/>
    <w:rsid w:val="00EA09BD"/>
    <w:rsid w:val="00EA6B00"/>
    <w:rsid w:val="00EB05AA"/>
    <w:rsid w:val="00EB2AD2"/>
    <w:rsid w:val="00EB360C"/>
    <w:rsid w:val="00EB6420"/>
    <w:rsid w:val="00EB7C99"/>
    <w:rsid w:val="00EC1CCF"/>
    <w:rsid w:val="00EE0B25"/>
    <w:rsid w:val="00EE1364"/>
    <w:rsid w:val="00EE2FA3"/>
    <w:rsid w:val="00EE3CA8"/>
    <w:rsid w:val="00EE50A3"/>
    <w:rsid w:val="00EE5BB0"/>
    <w:rsid w:val="00EF711F"/>
    <w:rsid w:val="00F01426"/>
    <w:rsid w:val="00F04FA5"/>
    <w:rsid w:val="00F0570D"/>
    <w:rsid w:val="00F0659A"/>
    <w:rsid w:val="00F12395"/>
    <w:rsid w:val="00F1629A"/>
    <w:rsid w:val="00F170C4"/>
    <w:rsid w:val="00F20BC4"/>
    <w:rsid w:val="00F21703"/>
    <w:rsid w:val="00F338EE"/>
    <w:rsid w:val="00F43B03"/>
    <w:rsid w:val="00F43B45"/>
    <w:rsid w:val="00F50880"/>
    <w:rsid w:val="00F5213D"/>
    <w:rsid w:val="00F544AB"/>
    <w:rsid w:val="00F629AD"/>
    <w:rsid w:val="00F70553"/>
    <w:rsid w:val="00F72BCB"/>
    <w:rsid w:val="00F93BEA"/>
    <w:rsid w:val="00F93D5A"/>
    <w:rsid w:val="00F9550C"/>
    <w:rsid w:val="00FA37AE"/>
    <w:rsid w:val="00FA49D0"/>
    <w:rsid w:val="00FC0806"/>
    <w:rsid w:val="00FC30D4"/>
    <w:rsid w:val="00FE1B65"/>
    <w:rsid w:val="00FF0846"/>
    <w:rsid w:val="00FF66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70A71"/>
  <w15:docId w15:val="{F2BA9277-E729-4DB2-89FF-4C805A1E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2801"/>
  </w:style>
  <w:style w:type="paragraph" w:styleId="Titolo4">
    <w:name w:val="heading 4"/>
    <w:basedOn w:val="Normale"/>
    <w:link w:val="Titolo4Carattere"/>
    <w:uiPriority w:val="9"/>
    <w:qFormat/>
    <w:rsid w:val="007D3CAF"/>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4533B"/>
    <w:pPr>
      <w:ind w:left="720"/>
      <w:contextualSpacing/>
    </w:pPr>
  </w:style>
  <w:style w:type="paragraph" w:styleId="Intestazione">
    <w:name w:val="header"/>
    <w:basedOn w:val="Normale"/>
    <w:link w:val="IntestazioneCarattere"/>
    <w:uiPriority w:val="99"/>
    <w:unhideWhenUsed/>
    <w:rsid w:val="00493A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93AFB"/>
  </w:style>
  <w:style w:type="paragraph" w:styleId="Pidipagina">
    <w:name w:val="footer"/>
    <w:basedOn w:val="Normale"/>
    <w:link w:val="PidipaginaCarattere"/>
    <w:uiPriority w:val="99"/>
    <w:unhideWhenUsed/>
    <w:rsid w:val="00493A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93AFB"/>
  </w:style>
  <w:style w:type="paragraph" w:styleId="NormaleWeb">
    <w:name w:val="Normal (Web)"/>
    <w:basedOn w:val="Normale"/>
    <w:uiPriority w:val="99"/>
    <w:semiHidden/>
    <w:unhideWhenUsed/>
    <w:rsid w:val="007D12F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047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04758"/>
    <w:rPr>
      <w:rFonts w:ascii="Segoe UI" w:hAnsi="Segoe UI" w:cs="Segoe UI"/>
      <w:sz w:val="18"/>
      <w:szCs w:val="18"/>
    </w:rPr>
  </w:style>
  <w:style w:type="paragraph" w:customStyle="1" w:styleId="Default">
    <w:name w:val="Default"/>
    <w:rsid w:val="00311850"/>
    <w:pPr>
      <w:autoSpaceDE w:val="0"/>
      <w:autoSpaceDN w:val="0"/>
      <w:adjustRightInd w:val="0"/>
      <w:spacing w:after="0" w:line="240" w:lineRule="auto"/>
    </w:pPr>
    <w:rPr>
      <w:rFonts w:ascii="Calibri" w:hAnsi="Calibri" w:cs="Calibri"/>
      <w:color w:val="000000"/>
      <w:sz w:val="24"/>
      <w:szCs w:val="24"/>
    </w:rPr>
  </w:style>
  <w:style w:type="character" w:styleId="Enfasigrassetto">
    <w:name w:val="Strong"/>
    <w:basedOn w:val="Carpredefinitoparagrafo"/>
    <w:uiPriority w:val="22"/>
    <w:qFormat/>
    <w:rsid w:val="00A57B20"/>
    <w:rPr>
      <w:b/>
      <w:bCs/>
    </w:rPr>
  </w:style>
  <w:style w:type="paragraph" w:styleId="Testonotaapidipagina">
    <w:name w:val="footnote text"/>
    <w:basedOn w:val="Normale"/>
    <w:link w:val="TestonotaapidipaginaCarattere"/>
    <w:uiPriority w:val="99"/>
    <w:semiHidden/>
    <w:unhideWhenUsed/>
    <w:rsid w:val="0023331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3331A"/>
    <w:rPr>
      <w:sz w:val="20"/>
      <w:szCs w:val="20"/>
    </w:rPr>
  </w:style>
  <w:style w:type="character" w:styleId="Rimandonotaapidipagina">
    <w:name w:val="footnote reference"/>
    <w:basedOn w:val="Carpredefinitoparagrafo"/>
    <w:uiPriority w:val="99"/>
    <w:semiHidden/>
    <w:unhideWhenUsed/>
    <w:rsid w:val="0023331A"/>
    <w:rPr>
      <w:vertAlign w:val="superscript"/>
    </w:rPr>
  </w:style>
  <w:style w:type="table" w:styleId="Grigliatabella">
    <w:name w:val="Table Grid"/>
    <w:basedOn w:val="Tabellanormale"/>
    <w:uiPriority w:val="39"/>
    <w:rsid w:val="00005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EF71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rsid w:val="007D3CAF"/>
    <w:rPr>
      <w:rFonts w:ascii="Times New Roman" w:eastAsia="Times New Roman" w:hAnsi="Times New Roman" w:cs="Times New Roman"/>
      <w:b/>
      <w:bCs/>
      <w:sz w:val="24"/>
      <w:szCs w:val="24"/>
      <w:lang w:eastAsia="it-IT"/>
    </w:rPr>
  </w:style>
  <w:style w:type="character" w:customStyle="1" w:styleId="text-primary">
    <w:name w:val="text-primary"/>
    <w:basedOn w:val="Carpredefinitoparagrafo"/>
    <w:rsid w:val="007D3CAF"/>
  </w:style>
  <w:style w:type="character" w:customStyle="1" w:styleId="badge">
    <w:name w:val="badge"/>
    <w:basedOn w:val="Carpredefinitoparagrafo"/>
    <w:rsid w:val="007D3CAF"/>
  </w:style>
  <w:style w:type="paragraph" w:customStyle="1" w:styleId="mb-0">
    <w:name w:val="mb-0"/>
    <w:basedOn w:val="Normale"/>
    <w:rsid w:val="007D3CA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l-2">
    <w:name w:val="ml-2"/>
    <w:basedOn w:val="Carpredefinitoparagrafo"/>
    <w:rsid w:val="007D3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6732">
      <w:bodyDiv w:val="1"/>
      <w:marLeft w:val="0"/>
      <w:marRight w:val="0"/>
      <w:marTop w:val="0"/>
      <w:marBottom w:val="0"/>
      <w:divBdr>
        <w:top w:val="none" w:sz="0" w:space="0" w:color="auto"/>
        <w:left w:val="none" w:sz="0" w:space="0" w:color="auto"/>
        <w:bottom w:val="none" w:sz="0" w:space="0" w:color="auto"/>
        <w:right w:val="none" w:sz="0" w:space="0" w:color="auto"/>
      </w:divBdr>
      <w:divsChild>
        <w:div w:id="1456368300">
          <w:marLeft w:val="0"/>
          <w:marRight w:val="0"/>
          <w:marTop w:val="0"/>
          <w:marBottom w:val="0"/>
          <w:divBdr>
            <w:top w:val="none" w:sz="0" w:space="0" w:color="auto"/>
            <w:left w:val="none" w:sz="0" w:space="0" w:color="auto"/>
            <w:bottom w:val="none" w:sz="0" w:space="0" w:color="auto"/>
            <w:right w:val="none" w:sz="0" w:space="0" w:color="auto"/>
          </w:divBdr>
          <w:divsChild>
            <w:div w:id="202061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6808">
      <w:bodyDiv w:val="1"/>
      <w:marLeft w:val="0"/>
      <w:marRight w:val="0"/>
      <w:marTop w:val="0"/>
      <w:marBottom w:val="0"/>
      <w:divBdr>
        <w:top w:val="none" w:sz="0" w:space="0" w:color="auto"/>
        <w:left w:val="none" w:sz="0" w:space="0" w:color="auto"/>
        <w:bottom w:val="none" w:sz="0" w:space="0" w:color="auto"/>
        <w:right w:val="none" w:sz="0" w:space="0" w:color="auto"/>
      </w:divBdr>
    </w:div>
    <w:div w:id="117528255">
      <w:bodyDiv w:val="1"/>
      <w:marLeft w:val="0"/>
      <w:marRight w:val="0"/>
      <w:marTop w:val="0"/>
      <w:marBottom w:val="0"/>
      <w:divBdr>
        <w:top w:val="none" w:sz="0" w:space="0" w:color="auto"/>
        <w:left w:val="none" w:sz="0" w:space="0" w:color="auto"/>
        <w:bottom w:val="none" w:sz="0" w:space="0" w:color="auto"/>
        <w:right w:val="none" w:sz="0" w:space="0" w:color="auto"/>
      </w:divBdr>
    </w:div>
    <w:div w:id="132138421">
      <w:bodyDiv w:val="1"/>
      <w:marLeft w:val="0"/>
      <w:marRight w:val="0"/>
      <w:marTop w:val="0"/>
      <w:marBottom w:val="0"/>
      <w:divBdr>
        <w:top w:val="none" w:sz="0" w:space="0" w:color="auto"/>
        <w:left w:val="none" w:sz="0" w:space="0" w:color="auto"/>
        <w:bottom w:val="none" w:sz="0" w:space="0" w:color="auto"/>
        <w:right w:val="none" w:sz="0" w:space="0" w:color="auto"/>
      </w:divBdr>
      <w:divsChild>
        <w:div w:id="101268508">
          <w:marLeft w:val="446"/>
          <w:marRight w:val="0"/>
          <w:marTop w:val="0"/>
          <w:marBottom w:val="0"/>
          <w:divBdr>
            <w:top w:val="none" w:sz="0" w:space="0" w:color="auto"/>
            <w:left w:val="none" w:sz="0" w:space="0" w:color="auto"/>
            <w:bottom w:val="none" w:sz="0" w:space="0" w:color="auto"/>
            <w:right w:val="none" w:sz="0" w:space="0" w:color="auto"/>
          </w:divBdr>
        </w:div>
        <w:div w:id="405344800">
          <w:marLeft w:val="446"/>
          <w:marRight w:val="0"/>
          <w:marTop w:val="0"/>
          <w:marBottom w:val="0"/>
          <w:divBdr>
            <w:top w:val="none" w:sz="0" w:space="0" w:color="auto"/>
            <w:left w:val="none" w:sz="0" w:space="0" w:color="auto"/>
            <w:bottom w:val="none" w:sz="0" w:space="0" w:color="auto"/>
            <w:right w:val="none" w:sz="0" w:space="0" w:color="auto"/>
          </w:divBdr>
        </w:div>
        <w:div w:id="849834745">
          <w:marLeft w:val="446"/>
          <w:marRight w:val="0"/>
          <w:marTop w:val="0"/>
          <w:marBottom w:val="0"/>
          <w:divBdr>
            <w:top w:val="none" w:sz="0" w:space="0" w:color="auto"/>
            <w:left w:val="none" w:sz="0" w:space="0" w:color="auto"/>
            <w:bottom w:val="none" w:sz="0" w:space="0" w:color="auto"/>
            <w:right w:val="none" w:sz="0" w:space="0" w:color="auto"/>
          </w:divBdr>
        </w:div>
        <w:div w:id="858860984">
          <w:marLeft w:val="446"/>
          <w:marRight w:val="0"/>
          <w:marTop w:val="0"/>
          <w:marBottom w:val="0"/>
          <w:divBdr>
            <w:top w:val="none" w:sz="0" w:space="0" w:color="auto"/>
            <w:left w:val="none" w:sz="0" w:space="0" w:color="auto"/>
            <w:bottom w:val="none" w:sz="0" w:space="0" w:color="auto"/>
            <w:right w:val="none" w:sz="0" w:space="0" w:color="auto"/>
          </w:divBdr>
        </w:div>
        <w:div w:id="1022513980">
          <w:marLeft w:val="446"/>
          <w:marRight w:val="0"/>
          <w:marTop w:val="0"/>
          <w:marBottom w:val="0"/>
          <w:divBdr>
            <w:top w:val="none" w:sz="0" w:space="0" w:color="auto"/>
            <w:left w:val="none" w:sz="0" w:space="0" w:color="auto"/>
            <w:bottom w:val="none" w:sz="0" w:space="0" w:color="auto"/>
            <w:right w:val="none" w:sz="0" w:space="0" w:color="auto"/>
          </w:divBdr>
        </w:div>
        <w:div w:id="1103724202">
          <w:marLeft w:val="446"/>
          <w:marRight w:val="0"/>
          <w:marTop w:val="0"/>
          <w:marBottom w:val="0"/>
          <w:divBdr>
            <w:top w:val="none" w:sz="0" w:space="0" w:color="auto"/>
            <w:left w:val="none" w:sz="0" w:space="0" w:color="auto"/>
            <w:bottom w:val="none" w:sz="0" w:space="0" w:color="auto"/>
            <w:right w:val="none" w:sz="0" w:space="0" w:color="auto"/>
          </w:divBdr>
        </w:div>
        <w:div w:id="1469014861">
          <w:marLeft w:val="446"/>
          <w:marRight w:val="0"/>
          <w:marTop w:val="0"/>
          <w:marBottom w:val="0"/>
          <w:divBdr>
            <w:top w:val="none" w:sz="0" w:space="0" w:color="auto"/>
            <w:left w:val="none" w:sz="0" w:space="0" w:color="auto"/>
            <w:bottom w:val="none" w:sz="0" w:space="0" w:color="auto"/>
            <w:right w:val="none" w:sz="0" w:space="0" w:color="auto"/>
          </w:divBdr>
        </w:div>
      </w:divsChild>
    </w:div>
    <w:div w:id="143398534">
      <w:bodyDiv w:val="1"/>
      <w:marLeft w:val="0"/>
      <w:marRight w:val="0"/>
      <w:marTop w:val="0"/>
      <w:marBottom w:val="0"/>
      <w:divBdr>
        <w:top w:val="none" w:sz="0" w:space="0" w:color="auto"/>
        <w:left w:val="none" w:sz="0" w:space="0" w:color="auto"/>
        <w:bottom w:val="none" w:sz="0" w:space="0" w:color="auto"/>
        <w:right w:val="none" w:sz="0" w:space="0" w:color="auto"/>
      </w:divBdr>
    </w:div>
    <w:div w:id="153182877">
      <w:bodyDiv w:val="1"/>
      <w:marLeft w:val="0"/>
      <w:marRight w:val="0"/>
      <w:marTop w:val="0"/>
      <w:marBottom w:val="0"/>
      <w:divBdr>
        <w:top w:val="none" w:sz="0" w:space="0" w:color="auto"/>
        <w:left w:val="none" w:sz="0" w:space="0" w:color="auto"/>
        <w:bottom w:val="none" w:sz="0" w:space="0" w:color="auto"/>
        <w:right w:val="none" w:sz="0" w:space="0" w:color="auto"/>
      </w:divBdr>
      <w:divsChild>
        <w:div w:id="174927038">
          <w:marLeft w:val="446"/>
          <w:marRight w:val="0"/>
          <w:marTop w:val="0"/>
          <w:marBottom w:val="0"/>
          <w:divBdr>
            <w:top w:val="none" w:sz="0" w:space="0" w:color="auto"/>
            <w:left w:val="none" w:sz="0" w:space="0" w:color="auto"/>
            <w:bottom w:val="none" w:sz="0" w:space="0" w:color="auto"/>
            <w:right w:val="none" w:sz="0" w:space="0" w:color="auto"/>
          </w:divBdr>
        </w:div>
        <w:div w:id="1110128121">
          <w:marLeft w:val="446"/>
          <w:marRight w:val="0"/>
          <w:marTop w:val="0"/>
          <w:marBottom w:val="0"/>
          <w:divBdr>
            <w:top w:val="none" w:sz="0" w:space="0" w:color="auto"/>
            <w:left w:val="none" w:sz="0" w:space="0" w:color="auto"/>
            <w:bottom w:val="none" w:sz="0" w:space="0" w:color="auto"/>
            <w:right w:val="none" w:sz="0" w:space="0" w:color="auto"/>
          </w:divBdr>
        </w:div>
        <w:div w:id="430780756">
          <w:marLeft w:val="446"/>
          <w:marRight w:val="0"/>
          <w:marTop w:val="0"/>
          <w:marBottom w:val="0"/>
          <w:divBdr>
            <w:top w:val="none" w:sz="0" w:space="0" w:color="auto"/>
            <w:left w:val="none" w:sz="0" w:space="0" w:color="auto"/>
            <w:bottom w:val="none" w:sz="0" w:space="0" w:color="auto"/>
            <w:right w:val="none" w:sz="0" w:space="0" w:color="auto"/>
          </w:divBdr>
        </w:div>
      </w:divsChild>
    </w:div>
    <w:div w:id="158539848">
      <w:bodyDiv w:val="1"/>
      <w:marLeft w:val="0"/>
      <w:marRight w:val="0"/>
      <w:marTop w:val="0"/>
      <w:marBottom w:val="0"/>
      <w:divBdr>
        <w:top w:val="none" w:sz="0" w:space="0" w:color="auto"/>
        <w:left w:val="none" w:sz="0" w:space="0" w:color="auto"/>
        <w:bottom w:val="none" w:sz="0" w:space="0" w:color="auto"/>
        <w:right w:val="none" w:sz="0" w:space="0" w:color="auto"/>
      </w:divBdr>
      <w:divsChild>
        <w:div w:id="507133394">
          <w:marLeft w:val="446"/>
          <w:marRight w:val="0"/>
          <w:marTop w:val="0"/>
          <w:marBottom w:val="0"/>
          <w:divBdr>
            <w:top w:val="none" w:sz="0" w:space="0" w:color="auto"/>
            <w:left w:val="none" w:sz="0" w:space="0" w:color="auto"/>
            <w:bottom w:val="none" w:sz="0" w:space="0" w:color="auto"/>
            <w:right w:val="none" w:sz="0" w:space="0" w:color="auto"/>
          </w:divBdr>
        </w:div>
        <w:div w:id="762340346">
          <w:marLeft w:val="446"/>
          <w:marRight w:val="0"/>
          <w:marTop w:val="0"/>
          <w:marBottom w:val="0"/>
          <w:divBdr>
            <w:top w:val="none" w:sz="0" w:space="0" w:color="auto"/>
            <w:left w:val="none" w:sz="0" w:space="0" w:color="auto"/>
            <w:bottom w:val="none" w:sz="0" w:space="0" w:color="auto"/>
            <w:right w:val="none" w:sz="0" w:space="0" w:color="auto"/>
          </w:divBdr>
        </w:div>
        <w:div w:id="1497181958">
          <w:marLeft w:val="446"/>
          <w:marRight w:val="0"/>
          <w:marTop w:val="0"/>
          <w:marBottom w:val="0"/>
          <w:divBdr>
            <w:top w:val="none" w:sz="0" w:space="0" w:color="auto"/>
            <w:left w:val="none" w:sz="0" w:space="0" w:color="auto"/>
            <w:bottom w:val="none" w:sz="0" w:space="0" w:color="auto"/>
            <w:right w:val="none" w:sz="0" w:space="0" w:color="auto"/>
          </w:divBdr>
        </w:div>
        <w:div w:id="2092696043">
          <w:marLeft w:val="446"/>
          <w:marRight w:val="0"/>
          <w:marTop w:val="0"/>
          <w:marBottom w:val="0"/>
          <w:divBdr>
            <w:top w:val="none" w:sz="0" w:space="0" w:color="auto"/>
            <w:left w:val="none" w:sz="0" w:space="0" w:color="auto"/>
            <w:bottom w:val="none" w:sz="0" w:space="0" w:color="auto"/>
            <w:right w:val="none" w:sz="0" w:space="0" w:color="auto"/>
          </w:divBdr>
        </w:div>
      </w:divsChild>
    </w:div>
    <w:div w:id="218324188">
      <w:bodyDiv w:val="1"/>
      <w:marLeft w:val="0"/>
      <w:marRight w:val="0"/>
      <w:marTop w:val="0"/>
      <w:marBottom w:val="0"/>
      <w:divBdr>
        <w:top w:val="none" w:sz="0" w:space="0" w:color="auto"/>
        <w:left w:val="none" w:sz="0" w:space="0" w:color="auto"/>
        <w:bottom w:val="none" w:sz="0" w:space="0" w:color="auto"/>
        <w:right w:val="none" w:sz="0" w:space="0" w:color="auto"/>
      </w:divBdr>
    </w:div>
    <w:div w:id="230505431">
      <w:bodyDiv w:val="1"/>
      <w:marLeft w:val="0"/>
      <w:marRight w:val="0"/>
      <w:marTop w:val="0"/>
      <w:marBottom w:val="0"/>
      <w:divBdr>
        <w:top w:val="none" w:sz="0" w:space="0" w:color="auto"/>
        <w:left w:val="none" w:sz="0" w:space="0" w:color="auto"/>
        <w:bottom w:val="none" w:sz="0" w:space="0" w:color="auto"/>
        <w:right w:val="none" w:sz="0" w:space="0" w:color="auto"/>
      </w:divBdr>
    </w:div>
    <w:div w:id="260383061">
      <w:bodyDiv w:val="1"/>
      <w:marLeft w:val="0"/>
      <w:marRight w:val="0"/>
      <w:marTop w:val="0"/>
      <w:marBottom w:val="0"/>
      <w:divBdr>
        <w:top w:val="none" w:sz="0" w:space="0" w:color="auto"/>
        <w:left w:val="none" w:sz="0" w:space="0" w:color="auto"/>
        <w:bottom w:val="none" w:sz="0" w:space="0" w:color="auto"/>
        <w:right w:val="none" w:sz="0" w:space="0" w:color="auto"/>
      </w:divBdr>
    </w:div>
    <w:div w:id="286087452">
      <w:bodyDiv w:val="1"/>
      <w:marLeft w:val="0"/>
      <w:marRight w:val="0"/>
      <w:marTop w:val="0"/>
      <w:marBottom w:val="0"/>
      <w:divBdr>
        <w:top w:val="none" w:sz="0" w:space="0" w:color="auto"/>
        <w:left w:val="none" w:sz="0" w:space="0" w:color="auto"/>
        <w:bottom w:val="none" w:sz="0" w:space="0" w:color="auto"/>
        <w:right w:val="none" w:sz="0" w:space="0" w:color="auto"/>
      </w:divBdr>
    </w:div>
    <w:div w:id="329338026">
      <w:bodyDiv w:val="1"/>
      <w:marLeft w:val="0"/>
      <w:marRight w:val="0"/>
      <w:marTop w:val="0"/>
      <w:marBottom w:val="0"/>
      <w:divBdr>
        <w:top w:val="none" w:sz="0" w:space="0" w:color="auto"/>
        <w:left w:val="none" w:sz="0" w:space="0" w:color="auto"/>
        <w:bottom w:val="none" w:sz="0" w:space="0" w:color="auto"/>
        <w:right w:val="none" w:sz="0" w:space="0" w:color="auto"/>
      </w:divBdr>
      <w:divsChild>
        <w:div w:id="1003582499">
          <w:marLeft w:val="446"/>
          <w:marRight w:val="0"/>
          <w:marTop w:val="70"/>
          <w:marBottom w:val="0"/>
          <w:divBdr>
            <w:top w:val="none" w:sz="0" w:space="0" w:color="auto"/>
            <w:left w:val="none" w:sz="0" w:space="0" w:color="auto"/>
            <w:bottom w:val="none" w:sz="0" w:space="0" w:color="auto"/>
            <w:right w:val="none" w:sz="0" w:space="0" w:color="auto"/>
          </w:divBdr>
        </w:div>
      </w:divsChild>
    </w:div>
    <w:div w:id="350184154">
      <w:bodyDiv w:val="1"/>
      <w:marLeft w:val="0"/>
      <w:marRight w:val="0"/>
      <w:marTop w:val="0"/>
      <w:marBottom w:val="0"/>
      <w:divBdr>
        <w:top w:val="none" w:sz="0" w:space="0" w:color="auto"/>
        <w:left w:val="none" w:sz="0" w:space="0" w:color="auto"/>
        <w:bottom w:val="none" w:sz="0" w:space="0" w:color="auto"/>
        <w:right w:val="none" w:sz="0" w:space="0" w:color="auto"/>
      </w:divBdr>
    </w:div>
    <w:div w:id="392047622">
      <w:bodyDiv w:val="1"/>
      <w:marLeft w:val="0"/>
      <w:marRight w:val="0"/>
      <w:marTop w:val="0"/>
      <w:marBottom w:val="0"/>
      <w:divBdr>
        <w:top w:val="none" w:sz="0" w:space="0" w:color="auto"/>
        <w:left w:val="none" w:sz="0" w:space="0" w:color="auto"/>
        <w:bottom w:val="none" w:sz="0" w:space="0" w:color="auto"/>
        <w:right w:val="none" w:sz="0" w:space="0" w:color="auto"/>
      </w:divBdr>
    </w:div>
    <w:div w:id="418866109">
      <w:bodyDiv w:val="1"/>
      <w:marLeft w:val="0"/>
      <w:marRight w:val="0"/>
      <w:marTop w:val="0"/>
      <w:marBottom w:val="0"/>
      <w:divBdr>
        <w:top w:val="none" w:sz="0" w:space="0" w:color="auto"/>
        <w:left w:val="none" w:sz="0" w:space="0" w:color="auto"/>
        <w:bottom w:val="none" w:sz="0" w:space="0" w:color="auto"/>
        <w:right w:val="none" w:sz="0" w:space="0" w:color="auto"/>
      </w:divBdr>
    </w:div>
    <w:div w:id="442922142">
      <w:bodyDiv w:val="1"/>
      <w:marLeft w:val="0"/>
      <w:marRight w:val="0"/>
      <w:marTop w:val="0"/>
      <w:marBottom w:val="0"/>
      <w:divBdr>
        <w:top w:val="none" w:sz="0" w:space="0" w:color="auto"/>
        <w:left w:val="none" w:sz="0" w:space="0" w:color="auto"/>
        <w:bottom w:val="none" w:sz="0" w:space="0" w:color="auto"/>
        <w:right w:val="none" w:sz="0" w:space="0" w:color="auto"/>
      </w:divBdr>
    </w:div>
    <w:div w:id="468472577">
      <w:bodyDiv w:val="1"/>
      <w:marLeft w:val="0"/>
      <w:marRight w:val="0"/>
      <w:marTop w:val="0"/>
      <w:marBottom w:val="0"/>
      <w:divBdr>
        <w:top w:val="none" w:sz="0" w:space="0" w:color="auto"/>
        <w:left w:val="none" w:sz="0" w:space="0" w:color="auto"/>
        <w:bottom w:val="none" w:sz="0" w:space="0" w:color="auto"/>
        <w:right w:val="none" w:sz="0" w:space="0" w:color="auto"/>
      </w:divBdr>
      <w:divsChild>
        <w:div w:id="1010179832">
          <w:marLeft w:val="446"/>
          <w:marRight w:val="0"/>
          <w:marTop w:val="0"/>
          <w:marBottom w:val="0"/>
          <w:divBdr>
            <w:top w:val="none" w:sz="0" w:space="0" w:color="auto"/>
            <w:left w:val="none" w:sz="0" w:space="0" w:color="auto"/>
            <w:bottom w:val="none" w:sz="0" w:space="0" w:color="auto"/>
            <w:right w:val="none" w:sz="0" w:space="0" w:color="auto"/>
          </w:divBdr>
        </w:div>
      </w:divsChild>
    </w:div>
    <w:div w:id="471869529">
      <w:bodyDiv w:val="1"/>
      <w:marLeft w:val="0"/>
      <w:marRight w:val="0"/>
      <w:marTop w:val="0"/>
      <w:marBottom w:val="0"/>
      <w:divBdr>
        <w:top w:val="none" w:sz="0" w:space="0" w:color="auto"/>
        <w:left w:val="none" w:sz="0" w:space="0" w:color="auto"/>
        <w:bottom w:val="none" w:sz="0" w:space="0" w:color="auto"/>
        <w:right w:val="none" w:sz="0" w:space="0" w:color="auto"/>
      </w:divBdr>
    </w:div>
    <w:div w:id="479345646">
      <w:bodyDiv w:val="1"/>
      <w:marLeft w:val="0"/>
      <w:marRight w:val="0"/>
      <w:marTop w:val="0"/>
      <w:marBottom w:val="0"/>
      <w:divBdr>
        <w:top w:val="none" w:sz="0" w:space="0" w:color="auto"/>
        <w:left w:val="none" w:sz="0" w:space="0" w:color="auto"/>
        <w:bottom w:val="none" w:sz="0" w:space="0" w:color="auto"/>
        <w:right w:val="none" w:sz="0" w:space="0" w:color="auto"/>
      </w:divBdr>
    </w:div>
    <w:div w:id="508179391">
      <w:bodyDiv w:val="1"/>
      <w:marLeft w:val="0"/>
      <w:marRight w:val="0"/>
      <w:marTop w:val="0"/>
      <w:marBottom w:val="0"/>
      <w:divBdr>
        <w:top w:val="none" w:sz="0" w:space="0" w:color="auto"/>
        <w:left w:val="none" w:sz="0" w:space="0" w:color="auto"/>
        <w:bottom w:val="none" w:sz="0" w:space="0" w:color="auto"/>
        <w:right w:val="none" w:sz="0" w:space="0" w:color="auto"/>
      </w:divBdr>
    </w:div>
    <w:div w:id="556476987">
      <w:bodyDiv w:val="1"/>
      <w:marLeft w:val="0"/>
      <w:marRight w:val="0"/>
      <w:marTop w:val="0"/>
      <w:marBottom w:val="0"/>
      <w:divBdr>
        <w:top w:val="none" w:sz="0" w:space="0" w:color="auto"/>
        <w:left w:val="none" w:sz="0" w:space="0" w:color="auto"/>
        <w:bottom w:val="none" w:sz="0" w:space="0" w:color="auto"/>
        <w:right w:val="none" w:sz="0" w:space="0" w:color="auto"/>
      </w:divBdr>
    </w:div>
    <w:div w:id="585191242">
      <w:bodyDiv w:val="1"/>
      <w:marLeft w:val="0"/>
      <w:marRight w:val="0"/>
      <w:marTop w:val="0"/>
      <w:marBottom w:val="0"/>
      <w:divBdr>
        <w:top w:val="none" w:sz="0" w:space="0" w:color="auto"/>
        <w:left w:val="none" w:sz="0" w:space="0" w:color="auto"/>
        <w:bottom w:val="none" w:sz="0" w:space="0" w:color="auto"/>
        <w:right w:val="none" w:sz="0" w:space="0" w:color="auto"/>
      </w:divBdr>
      <w:divsChild>
        <w:div w:id="1973318530">
          <w:marLeft w:val="0"/>
          <w:marRight w:val="0"/>
          <w:marTop w:val="0"/>
          <w:marBottom w:val="0"/>
          <w:divBdr>
            <w:top w:val="none" w:sz="0" w:space="0" w:color="auto"/>
            <w:left w:val="none" w:sz="0" w:space="0" w:color="auto"/>
            <w:bottom w:val="none" w:sz="0" w:space="0" w:color="auto"/>
            <w:right w:val="none" w:sz="0" w:space="0" w:color="auto"/>
          </w:divBdr>
        </w:div>
        <w:div w:id="1570268929">
          <w:marLeft w:val="0"/>
          <w:marRight w:val="0"/>
          <w:marTop w:val="0"/>
          <w:marBottom w:val="0"/>
          <w:divBdr>
            <w:top w:val="none" w:sz="0" w:space="0" w:color="auto"/>
            <w:left w:val="none" w:sz="0" w:space="0" w:color="auto"/>
            <w:bottom w:val="none" w:sz="0" w:space="0" w:color="auto"/>
            <w:right w:val="none" w:sz="0" w:space="0" w:color="auto"/>
          </w:divBdr>
        </w:div>
        <w:div w:id="28645642">
          <w:marLeft w:val="-225"/>
          <w:marRight w:val="-225"/>
          <w:marTop w:val="0"/>
          <w:marBottom w:val="0"/>
          <w:divBdr>
            <w:top w:val="none" w:sz="0" w:space="0" w:color="auto"/>
            <w:left w:val="none" w:sz="0" w:space="0" w:color="auto"/>
            <w:bottom w:val="none" w:sz="0" w:space="0" w:color="auto"/>
            <w:right w:val="none" w:sz="0" w:space="0" w:color="auto"/>
          </w:divBdr>
          <w:divsChild>
            <w:div w:id="1517109189">
              <w:marLeft w:val="0"/>
              <w:marRight w:val="0"/>
              <w:marTop w:val="0"/>
              <w:marBottom w:val="0"/>
              <w:divBdr>
                <w:top w:val="none" w:sz="0" w:space="0" w:color="auto"/>
                <w:left w:val="none" w:sz="0" w:space="0" w:color="auto"/>
                <w:bottom w:val="none" w:sz="0" w:space="0" w:color="auto"/>
                <w:right w:val="none" w:sz="0" w:space="0" w:color="auto"/>
              </w:divBdr>
              <w:divsChild>
                <w:div w:id="978805779">
                  <w:marLeft w:val="0"/>
                  <w:marRight w:val="0"/>
                  <w:marTop w:val="0"/>
                  <w:marBottom w:val="0"/>
                  <w:divBdr>
                    <w:top w:val="single" w:sz="6" w:space="0" w:color="auto"/>
                    <w:left w:val="single" w:sz="6" w:space="0" w:color="auto"/>
                    <w:bottom w:val="single" w:sz="6" w:space="0" w:color="auto"/>
                    <w:right w:val="single" w:sz="6" w:space="0" w:color="auto"/>
                  </w:divBdr>
                  <w:divsChild>
                    <w:div w:id="9832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35984">
              <w:marLeft w:val="0"/>
              <w:marRight w:val="0"/>
              <w:marTop w:val="0"/>
              <w:marBottom w:val="0"/>
              <w:divBdr>
                <w:top w:val="none" w:sz="0" w:space="0" w:color="auto"/>
                <w:left w:val="none" w:sz="0" w:space="0" w:color="auto"/>
                <w:bottom w:val="none" w:sz="0" w:space="0" w:color="auto"/>
                <w:right w:val="none" w:sz="0" w:space="0" w:color="auto"/>
              </w:divBdr>
              <w:divsChild>
                <w:div w:id="834108377">
                  <w:marLeft w:val="0"/>
                  <w:marRight w:val="0"/>
                  <w:marTop w:val="0"/>
                  <w:marBottom w:val="0"/>
                  <w:divBdr>
                    <w:top w:val="none" w:sz="0" w:space="0" w:color="auto"/>
                    <w:left w:val="none" w:sz="0" w:space="0" w:color="auto"/>
                    <w:bottom w:val="none" w:sz="0" w:space="0" w:color="auto"/>
                    <w:right w:val="none" w:sz="0" w:space="0" w:color="auto"/>
                  </w:divBdr>
                  <w:divsChild>
                    <w:div w:id="2671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39993">
              <w:marLeft w:val="0"/>
              <w:marRight w:val="0"/>
              <w:marTop w:val="0"/>
              <w:marBottom w:val="0"/>
              <w:divBdr>
                <w:top w:val="none" w:sz="0" w:space="0" w:color="auto"/>
                <w:left w:val="none" w:sz="0" w:space="0" w:color="auto"/>
                <w:bottom w:val="none" w:sz="0" w:space="0" w:color="auto"/>
                <w:right w:val="none" w:sz="0" w:space="0" w:color="auto"/>
              </w:divBdr>
              <w:divsChild>
                <w:div w:id="1058013865">
                  <w:marLeft w:val="0"/>
                  <w:marRight w:val="0"/>
                  <w:marTop w:val="0"/>
                  <w:marBottom w:val="0"/>
                  <w:divBdr>
                    <w:top w:val="none" w:sz="0" w:space="0" w:color="auto"/>
                    <w:left w:val="none" w:sz="0" w:space="0" w:color="auto"/>
                    <w:bottom w:val="none" w:sz="0" w:space="0" w:color="auto"/>
                    <w:right w:val="none" w:sz="0" w:space="0" w:color="auto"/>
                  </w:divBdr>
                  <w:divsChild>
                    <w:div w:id="63225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969977">
      <w:bodyDiv w:val="1"/>
      <w:marLeft w:val="0"/>
      <w:marRight w:val="0"/>
      <w:marTop w:val="0"/>
      <w:marBottom w:val="0"/>
      <w:divBdr>
        <w:top w:val="none" w:sz="0" w:space="0" w:color="auto"/>
        <w:left w:val="none" w:sz="0" w:space="0" w:color="auto"/>
        <w:bottom w:val="none" w:sz="0" w:space="0" w:color="auto"/>
        <w:right w:val="none" w:sz="0" w:space="0" w:color="auto"/>
      </w:divBdr>
    </w:div>
    <w:div w:id="929504984">
      <w:bodyDiv w:val="1"/>
      <w:marLeft w:val="0"/>
      <w:marRight w:val="0"/>
      <w:marTop w:val="0"/>
      <w:marBottom w:val="0"/>
      <w:divBdr>
        <w:top w:val="none" w:sz="0" w:space="0" w:color="auto"/>
        <w:left w:val="none" w:sz="0" w:space="0" w:color="auto"/>
        <w:bottom w:val="none" w:sz="0" w:space="0" w:color="auto"/>
        <w:right w:val="none" w:sz="0" w:space="0" w:color="auto"/>
      </w:divBdr>
    </w:div>
    <w:div w:id="1017661110">
      <w:bodyDiv w:val="1"/>
      <w:marLeft w:val="0"/>
      <w:marRight w:val="0"/>
      <w:marTop w:val="0"/>
      <w:marBottom w:val="0"/>
      <w:divBdr>
        <w:top w:val="none" w:sz="0" w:space="0" w:color="auto"/>
        <w:left w:val="none" w:sz="0" w:space="0" w:color="auto"/>
        <w:bottom w:val="none" w:sz="0" w:space="0" w:color="auto"/>
        <w:right w:val="none" w:sz="0" w:space="0" w:color="auto"/>
      </w:divBdr>
    </w:div>
    <w:div w:id="1032150312">
      <w:bodyDiv w:val="1"/>
      <w:marLeft w:val="0"/>
      <w:marRight w:val="0"/>
      <w:marTop w:val="0"/>
      <w:marBottom w:val="0"/>
      <w:divBdr>
        <w:top w:val="none" w:sz="0" w:space="0" w:color="auto"/>
        <w:left w:val="none" w:sz="0" w:space="0" w:color="auto"/>
        <w:bottom w:val="none" w:sz="0" w:space="0" w:color="auto"/>
        <w:right w:val="none" w:sz="0" w:space="0" w:color="auto"/>
      </w:divBdr>
    </w:div>
    <w:div w:id="1076392759">
      <w:bodyDiv w:val="1"/>
      <w:marLeft w:val="0"/>
      <w:marRight w:val="0"/>
      <w:marTop w:val="0"/>
      <w:marBottom w:val="0"/>
      <w:divBdr>
        <w:top w:val="none" w:sz="0" w:space="0" w:color="auto"/>
        <w:left w:val="none" w:sz="0" w:space="0" w:color="auto"/>
        <w:bottom w:val="none" w:sz="0" w:space="0" w:color="auto"/>
        <w:right w:val="none" w:sz="0" w:space="0" w:color="auto"/>
      </w:divBdr>
    </w:div>
    <w:div w:id="1088384616">
      <w:bodyDiv w:val="1"/>
      <w:marLeft w:val="0"/>
      <w:marRight w:val="0"/>
      <w:marTop w:val="0"/>
      <w:marBottom w:val="0"/>
      <w:divBdr>
        <w:top w:val="none" w:sz="0" w:space="0" w:color="auto"/>
        <w:left w:val="none" w:sz="0" w:space="0" w:color="auto"/>
        <w:bottom w:val="none" w:sz="0" w:space="0" w:color="auto"/>
        <w:right w:val="none" w:sz="0" w:space="0" w:color="auto"/>
      </w:divBdr>
    </w:div>
    <w:div w:id="1154105201">
      <w:bodyDiv w:val="1"/>
      <w:marLeft w:val="0"/>
      <w:marRight w:val="0"/>
      <w:marTop w:val="0"/>
      <w:marBottom w:val="0"/>
      <w:divBdr>
        <w:top w:val="none" w:sz="0" w:space="0" w:color="auto"/>
        <w:left w:val="none" w:sz="0" w:space="0" w:color="auto"/>
        <w:bottom w:val="none" w:sz="0" w:space="0" w:color="auto"/>
        <w:right w:val="none" w:sz="0" w:space="0" w:color="auto"/>
      </w:divBdr>
      <w:divsChild>
        <w:div w:id="584653259">
          <w:marLeft w:val="446"/>
          <w:marRight w:val="0"/>
          <w:marTop w:val="0"/>
          <w:marBottom w:val="0"/>
          <w:divBdr>
            <w:top w:val="none" w:sz="0" w:space="0" w:color="auto"/>
            <w:left w:val="none" w:sz="0" w:space="0" w:color="auto"/>
            <w:bottom w:val="none" w:sz="0" w:space="0" w:color="auto"/>
            <w:right w:val="none" w:sz="0" w:space="0" w:color="auto"/>
          </w:divBdr>
        </w:div>
        <w:div w:id="1149595854">
          <w:marLeft w:val="446"/>
          <w:marRight w:val="0"/>
          <w:marTop w:val="0"/>
          <w:marBottom w:val="0"/>
          <w:divBdr>
            <w:top w:val="none" w:sz="0" w:space="0" w:color="auto"/>
            <w:left w:val="none" w:sz="0" w:space="0" w:color="auto"/>
            <w:bottom w:val="none" w:sz="0" w:space="0" w:color="auto"/>
            <w:right w:val="none" w:sz="0" w:space="0" w:color="auto"/>
          </w:divBdr>
        </w:div>
      </w:divsChild>
    </w:div>
    <w:div w:id="1154251276">
      <w:bodyDiv w:val="1"/>
      <w:marLeft w:val="0"/>
      <w:marRight w:val="0"/>
      <w:marTop w:val="0"/>
      <w:marBottom w:val="0"/>
      <w:divBdr>
        <w:top w:val="none" w:sz="0" w:space="0" w:color="auto"/>
        <w:left w:val="none" w:sz="0" w:space="0" w:color="auto"/>
        <w:bottom w:val="none" w:sz="0" w:space="0" w:color="auto"/>
        <w:right w:val="none" w:sz="0" w:space="0" w:color="auto"/>
      </w:divBdr>
      <w:divsChild>
        <w:div w:id="2040083618">
          <w:marLeft w:val="446"/>
          <w:marRight w:val="0"/>
          <w:marTop w:val="0"/>
          <w:marBottom w:val="0"/>
          <w:divBdr>
            <w:top w:val="none" w:sz="0" w:space="0" w:color="auto"/>
            <w:left w:val="none" w:sz="0" w:space="0" w:color="auto"/>
            <w:bottom w:val="none" w:sz="0" w:space="0" w:color="auto"/>
            <w:right w:val="none" w:sz="0" w:space="0" w:color="auto"/>
          </w:divBdr>
        </w:div>
      </w:divsChild>
    </w:div>
    <w:div w:id="1167748391">
      <w:bodyDiv w:val="1"/>
      <w:marLeft w:val="0"/>
      <w:marRight w:val="0"/>
      <w:marTop w:val="0"/>
      <w:marBottom w:val="0"/>
      <w:divBdr>
        <w:top w:val="none" w:sz="0" w:space="0" w:color="auto"/>
        <w:left w:val="none" w:sz="0" w:space="0" w:color="auto"/>
        <w:bottom w:val="none" w:sz="0" w:space="0" w:color="auto"/>
        <w:right w:val="none" w:sz="0" w:space="0" w:color="auto"/>
      </w:divBdr>
    </w:div>
    <w:div w:id="1228420128">
      <w:bodyDiv w:val="1"/>
      <w:marLeft w:val="0"/>
      <w:marRight w:val="0"/>
      <w:marTop w:val="0"/>
      <w:marBottom w:val="0"/>
      <w:divBdr>
        <w:top w:val="none" w:sz="0" w:space="0" w:color="auto"/>
        <w:left w:val="none" w:sz="0" w:space="0" w:color="auto"/>
        <w:bottom w:val="none" w:sz="0" w:space="0" w:color="auto"/>
        <w:right w:val="none" w:sz="0" w:space="0" w:color="auto"/>
      </w:divBdr>
    </w:div>
    <w:div w:id="1428963361">
      <w:bodyDiv w:val="1"/>
      <w:marLeft w:val="0"/>
      <w:marRight w:val="0"/>
      <w:marTop w:val="0"/>
      <w:marBottom w:val="0"/>
      <w:divBdr>
        <w:top w:val="none" w:sz="0" w:space="0" w:color="auto"/>
        <w:left w:val="none" w:sz="0" w:space="0" w:color="auto"/>
        <w:bottom w:val="none" w:sz="0" w:space="0" w:color="auto"/>
        <w:right w:val="none" w:sz="0" w:space="0" w:color="auto"/>
      </w:divBdr>
    </w:div>
    <w:div w:id="1459379270">
      <w:bodyDiv w:val="1"/>
      <w:marLeft w:val="0"/>
      <w:marRight w:val="0"/>
      <w:marTop w:val="0"/>
      <w:marBottom w:val="0"/>
      <w:divBdr>
        <w:top w:val="none" w:sz="0" w:space="0" w:color="auto"/>
        <w:left w:val="none" w:sz="0" w:space="0" w:color="auto"/>
        <w:bottom w:val="none" w:sz="0" w:space="0" w:color="auto"/>
        <w:right w:val="none" w:sz="0" w:space="0" w:color="auto"/>
      </w:divBdr>
    </w:div>
    <w:div w:id="1590232611">
      <w:bodyDiv w:val="1"/>
      <w:marLeft w:val="0"/>
      <w:marRight w:val="0"/>
      <w:marTop w:val="0"/>
      <w:marBottom w:val="0"/>
      <w:divBdr>
        <w:top w:val="none" w:sz="0" w:space="0" w:color="auto"/>
        <w:left w:val="none" w:sz="0" w:space="0" w:color="auto"/>
        <w:bottom w:val="none" w:sz="0" w:space="0" w:color="auto"/>
        <w:right w:val="none" w:sz="0" w:space="0" w:color="auto"/>
      </w:divBdr>
      <w:divsChild>
        <w:div w:id="16472650">
          <w:marLeft w:val="274"/>
          <w:marRight w:val="0"/>
          <w:marTop w:val="0"/>
          <w:marBottom w:val="20"/>
          <w:divBdr>
            <w:top w:val="none" w:sz="0" w:space="0" w:color="auto"/>
            <w:left w:val="none" w:sz="0" w:space="0" w:color="auto"/>
            <w:bottom w:val="none" w:sz="0" w:space="0" w:color="auto"/>
            <w:right w:val="none" w:sz="0" w:space="0" w:color="auto"/>
          </w:divBdr>
        </w:div>
        <w:div w:id="959461341">
          <w:marLeft w:val="274"/>
          <w:marRight w:val="0"/>
          <w:marTop w:val="0"/>
          <w:marBottom w:val="20"/>
          <w:divBdr>
            <w:top w:val="none" w:sz="0" w:space="0" w:color="auto"/>
            <w:left w:val="none" w:sz="0" w:space="0" w:color="auto"/>
            <w:bottom w:val="none" w:sz="0" w:space="0" w:color="auto"/>
            <w:right w:val="none" w:sz="0" w:space="0" w:color="auto"/>
          </w:divBdr>
        </w:div>
        <w:div w:id="2000617797">
          <w:marLeft w:val="274"/>
          <w:marRight w:val="0"/>
          <w:marTop w:val="0"/>
          <w:marBottom w:val="20"/>
          <w:divBdr>
            <w:top w:val="none" w:sz="0" w:space="0" w:color="auto"/>
            <w:left w:val="none" w:sz="0" w:space="0" w:color="auto"/>
            <w:bottom w:val="none" w:sz="0" w:space="0" w:color="auto"/>
            <w:right w:val="none" w:sz="0" w:space="0" w:color="auto"/>
          </w:divBdr>
        </w:div>
        <w:div w:id="2140033508">
          <w:marLeft w:val="274"/>
          <w:marRight w:val="0"/>
          <w:marTop w:val="0"/>
          <w:marBottom w:val="20"/>
          <w:divBdr>
            <w:top w:val="none" w:sz="0" w:space="0" w:color="auto"/>
            <w:left w:val="none" w:sz="0" w:space="0" w:color="auto"/>
            <w:bottom w:val="none" w:sz="0" w:space="0" w:color="auto"/>
            <w:right w:val="none" w:sz="0" w:space="0" w:color="auto"/>
          </w:divBdr>
        </w:div>
      </w:divsChild>
    </w:div>
    <w:div w:id="1619213857">
      <w:bodyDiv w:val="1"/>
      <w:marLeft w:val="0"/>
      <w:marRight w:val="0"/>
      <w:marTop w:val="0"/>
      <w:marBottom w:val="0"/>
      <w:divBdr>
        <w:top w:val="none" w:sz="0" w:space="0" w:color="auto"/>
        <w:left w:val="none" w:sz="0" w:space="0" w:color="auto"/>
        <w:bottom w:val="none" w:sz="0" w:space="0" w:color="auto"/>
        <w:right w:val="none" w:sz="0" w:space="0" w:color="auto"/>
      </w:divBdr>
      <w:divsChild>
        <w:div w:id="55512481">
          <w:marLeft w:val="0"/>
          <w:marRight w:val="0"/>
          <w:marTop w:val="0"/>
          <w:marBottom w:val="0"/>
          <w:divBdr>
            <w:top w:val="none" w:sz="0" w:space="0" w:color="auto"/>
            <w:left w:val="none" w:sz="0" w:space="0" w:color="auto"/>
            <w:bottom w:val="none" w:sz="0" w:space="0" w:color="auto"/>
            <w:right w:val="none" w:sz="0" w:space="0" w:color="auto"/>
          </w:divBdr>
        </w:div>
        <w:div w:id="106899117">
          <w:marLeft w:val="0"/>
          <w:marRight w:val="0"/>
          <w:marTop w:val="0"/>
          <w:marBottom w:val="0"/>
          <w:divBdr>
            <w:top w:val="none" w:sz="0" w:space="0" w:color="auto"/>
            <w:left w:val="none" w:sz="0" w:space="0" w:color="auto"/>
            <w:bottom w:val="none" w:sz="0" w:space="0" w:color="auto"/>
            <w:right w:val="none" w:sz="0" w:space="0" w:color="auto"/>
          </w:divBdr>
        </w:div>
        <w:div w:id="1494908643">
          <w:marLeft w:val="0"/>
          <w:marRight w:val="0"/>
          <w:marTop w:val="0"/>
          <w:marBottom w:val="0"/>
          <w:divBdr>
            <w:top w:val="none" w:sz="0" w:space="0" w:color="auto"/>
            <w:left w:val="none" w:sz="0" w:space="0" w:color="auto"/>
            <w:bottom w:val="none" w:sz="0" w:space="0" w:color="auto"/>
            <w:right w:val="none" w:sz="0" w:space="0" w:color="auto"/>
          </w:divBdr>
        </w:div>
        <w:div w:id="1962766481">
          <w:marLeft w:val="0"/>
          <w:marRight w:val="0"/>
          <w:marTop w:val="0"/>
          <w:marBottom w:val="0"/>
          <w:divBdr>
            <w:top w:val="none" w:sz="0" w:space="0" w:color="auto"/>
            <w:left w:val="none" w:sz="0" w:space="0" w:color="auto"/>
            <w:bottom w:val="none" w:sz="0" w:space="0" w:color="auto"/>
            <w:right w:val="none" w:sz="0" w:space="0" w:color="auto"/>
          </w:divBdr>
        </w:div>
      </w:divsChild>
    </w:div>
    <w:div w:id="1642465727">
      <w:bodyDiv w:val="1"/>
      <w:marLeft w:val="0"/>
      <w:marRight w:val="0"/>
      <w:marTop w:val="0"/>
      <w:marBottom w:val="0"/>
      <w:divBdr>
        <w:top w:val="none" w:sz="0" w:space="0" w:color="auto"/>
        <w:left w:val="none" w:sz="0" w:space="0" w:color="auto"/>
        <w:bottom w:val="none" w:sz="0" w:space="0" w:color="auto"/>
        <w:right w:val="none" w:sz="0" w:space="0" w:color="auto"/>
      </w:divBdr>
    </w:div>
    <w:div w:id="1661956750">
      <w:bodyDiv w:val="1"/>
      <w:marLeft w:val="0"/>
      <w:marRight w:val="0"/>
      <w:marTop w:val="0"/>
      <w:marBottom w:val="0"/>
      <w:divBdr>
        <w:top w:val="none" w:sz="0" w:space="0" w:color="auto"/>
        <w:left w:val="none" w:sz="0" w:space="0" w:color="auto"/>
        <w:bottom w:val="none" w:sz="0" w:space="0" w:color="auto"/>
        <w:right w:val="none" w:sz="0" w:space="0" w:color="auto"/>
      </w:divBdr>
      <w:divsChild>
        <w:div w:id="1639064451">
          <w:marLeft w:val="0"/>
          <w:marRight w:val="0"/>
          <w:marTop w:val="0"/>
          <w:marBottom w:val="0"/>
          <w:divBdr>
            <w:top w:val="none" w:sz="0" w:space="0" w:color="auto"/>
            <w:left w:val="none" w:sz="0" w:space="0" w:color="auto"/>
            <w:bottom w:val="none" w:sz="0" w:space="0" w:color="auto"/>
            <w:right w:val="none" w:sz="0" w:space="0" w:color="auto"/>
          </w:divBdr>
        </w:div>
      </w:divsChild>
    </w:div>
    <w:div w:id="1797138680">
      <w:bodyDiv w:val="1"/>
      <w:marLeft w:val="0"/>
      <w:marRight w:val="0"/>
      <w:marTop w:val="0"/>
      <w:marBottom w:val="0"/>
      <w:divBdr>
        <w:top w:val="none" w:sz="0" w:space="0" w:color="auto"/>
        <w:left w:val="none" w:sz="0" w:space="0" w:color="auto"/>
        <w:bottom w:val="none" w:sz="0" w:space="0" w:color="auto"/>
        <w:right w:val="none" w:sz="0" w:space="0" w:color="auto"/>
      </w:divBdr>
    </w:div>
    <w:div w:id="1858424338">
      <w:bodyDiv w:val="1"/>
      <w:marLeft w:val="0"/>
      <w:marRight w:val="0"/>
      <w:marTop w:val="0"/>
      <w:marBottom w:val="0"/>
      <w:divBdr>
        <w:top w:val="none" w:sz="0" w:space="0" w:color="auto"/>
        <w:left w:val="none" w:sz="0" w:space="0" w:color="auto"/>
        <w:bottom w:val="none" w:sz="0" w:space="0" w:color="auto"/>
        <w:right w:val="none" w:sz="0" w:space="0" w:color="auto"/>
      </w:divBdr>
    </w:div>
    <w:div w:id="1882398295">
      <w:bodyDiv w:val="1"/>
      <w:marLeft w:val="0"/>
      <w:marRight w:val="0"/>
      <w:marTop w:val="0"/>
      <w:marBottom w:val="0"/>
      <w:divBdr>
        <w:top w:val="none" w:sz="0" w:space="0" w:color="auto"/>
        <w:left w:val="none" w:sz="0" w:space="0" w:color="auto"/>
        <w:bottom w:val="none" w:sz="0" w:space="0" w:color="auto"/>
        <w:right w:val="none" w:sz="0" w:space="0" w:color="auto"/>
      </w:divBdr>
      <w:divsChild>
        <w:div w:id="1371570101">
          <w:marLeft w:val="446"/>
          <w:marRight w:val="0"/>
          <w:marTop w:val="0"/>
          <w:marBottom w:val="0"/>
          <w:divBdr>
            <w:top w:val="none" w:sz="0" w:space="0" w:color="auto"/>
            <w:left w:val="none" w:sz="0" w:space="0" w:color="auto"/>
            <w:bottom w:val="none" w:sz="0" w:space="0" w:color="auto"/>
            <w:right w:val="none" w:sz="0" w:space="0" w:color="auto"/>
          </w:divBdr>
        </w:div>
      </w:divsChild>
    </w:div>
    <w:div w:id="1889143819">
      <w:bodyDiv w:val="1"/>
      <w:marLeft w:val="0"/>
      <w:marRight w:val="0"/>
      <w:marTop w:val="0"/>
      <w:marBottom w:val="0"/>
      <w:divBdr>
        <w:top w:val="none" w:sz="0" w:space="0" w:color="auto"/>
        <w:left w:val="none" w:sz="0" w:space="0" w:color="auto"/>
        <w:bottom w:val="none" w:sz="0" w:space="0" w:color="auto"/>
        <w:right w:val="none" w:sz="0" w:space="0" w:color="auto"/>
      </w:divBdr>
      <w:divsChild>
        <w:div w:id="15350254">
          <w:marLeft w:val="446"/>
          <w:marRight w:val="0"/>
          <w:marTop w:val="0"/>
          <w:marBottom w:val="0"/>
          <w:divBdr>
            <w:top w:val="none" w:sz="0" w:space="0" w:color="auto"/>
            <w:left w:val="none" w:sz="0" w:space="0" w:color="auto"/>
            <w:bottom w:val="none" w:sz="0" w:space="0" w:color="auto"/>
            <w:right w:val="none" w:sz="0" w:space="0" w:color="auto"/>
          </w:divBdr>
        </w:div>
        <w:div w:id="2065332775">
          <w:marLeft w:val="446"/>
          <w:marRight w:val="0"/>
          <w:marTop w:val="0"/>
          <w:marBottom w:val="0"/>
          <w:divBdr>
            <w:top w:val="none" w:sz="0" w:space="0" w:color="auto"/>
            <w:left w:val="none" w:sz="0" w:space="0" w:color="auto"/>
            <w:bottom w:val="none" w:sz="0" w:space="0" w:color="auto"/>
            <w:right w:val="none" w:sz="0" w:space="0" w:color="auto"/>
          </w:divBdr>
        </w:div>
      </w:divsChild>
    </w:div>
    <w:div w:id="1942103062">
      <w:bodyDiv w:val="1"/>
      <w:marLeft w:val="0"/>
      <w:marRight w:val="0"/>
      <w:marTop w:val="0"/>
      <w:marBottom w:val="0"/>
      <w:divBdr>
        <w:top w:val="none" w:sz="0" w:space="0" w:color="auto"/>
        <w:left w:val="none" w:sz="0" w:space="0" w:color="auto"/>
        <w:bottom w:val="none" w:sz="0" w:space="0" w:color="auto"/>
        <w:right w:val="none" w:sz="0" w:space="0" w:color="auto"/>
      </w:divBdr>
    </w:div>
    <w:div w:id="2024089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0B18D-EB82-416E-BE38-EE0368FE7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3359</Words>
  <Characters>19152</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D'Aprile Paolo</dc:creator>
  <cp:keywords/>
  <dc:description/>
  <cp:lastModifiedBy>Stefano Marrone</cp:lastModifiedBy>
  <cp:revision>2</cp:revision>
  <cp:lastPrinted>2022-03-22T13:49:00Z</cp:lastPrinted>
  <dcterms:created xsi:type="dcterms:W3CDTF">2022-03-23T16:57:00Z</dcterms:created>
  <dcterms:modified xsi:type="dcterms:W3CDTF">2022-03-23T16:57:00Z</dcterms:modified>
</cp:coreProperties>
</file>