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2545" w14:textId="44643F9C" w:rsidR="002A5642" w:rsidRPr="00AC318F" w:rsidRDefault="002A5642" w:rsidP="002A5642">
      <w:pPr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</w:pPr>
      <w:bookmarkStart w:id="0" w:name="_GoBack"/>
      <w:r w:rsidRPr="002A564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Comunicazioni del Presidente del Consiglio dei ministri in vista della riunione del Consiglio europeo del 24 e del 25 marzo 2022</w:t>
      </w:r>
    </w:p>
    <w:p w14:paraId="54E92A9F" w14:textId="101505A2" w:rsidR="002A5642" w:rsidRDefault="002A5642" w:rsidP="002A5642">
      <w:pPr>
        <w:rPr>
          <w:rFonts w:ascii="Roboto" w:eastAsia="Times New Roman" w:hAnsi="Roboto" w:cs="Times New Roman"/>
          <w:b/>
          <w:bCs/>
          <w:color w:val="333333"/>
          <w:sz w:val="23"/>
          <w:szCs w:val="23"/>
          <w:shd w:val="clear" w:color="auto" w:fill="FFFFFF"/>
          <w:lang w:eastAsia="it-IT"/>
        </w:rPr>
      </w:pPr>
    </w:p>
    <w:p w14:paraId="776404B7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Signor Presidente,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Onorevoli Deputate e Deputati,</w:t>
      </w:r>
    </w:p>
    <w:p w14:paraId="5315C5EF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Il Consiglio europeo del 24 e del 25 marzo si aprirà con l’incontro con il Presidente degli Stati Uniti,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Joe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Biden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Sarà preceduto da un Vertice Nato straordinario e da un Vertice G7, che si terranno sempre a Bruxelles.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In queste sedi, la comunità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euroatlantica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intende ribadire la sua unità e determinazione nel sostegno all’Ucraina.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Un impegno comune per tutelare la pace, la sicurezza, la democrazia - che l’Italia ha riaffermato ieri in quest’aula alla presenza del Presidente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Zelensky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.</w:t>
      </w:r>
    </w:p>
    <w:p w14:paraId="05573992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Il Consiglio europeo avviene a un mese esatto dall’inizio dell’invasione russa dell’Ucraina, cominciata il 24 febbraio.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Da allora, secondo l’Ufficio dell’Alto Commissario per i Diritti Umani, sono state registrate 2.510 vittime civili - con 953 persone uccise, tra cui 78 bambini, e oltre 1.500 feriti.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Sono purtroppo numeri provvisori, che sottostimano fortemente i morti e i feriti, e che continuano a crescere.</w:t>
      </w:r>
    </w:p>
    <w:p w14:paraId="7E483E0C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Davanti agli orrori della guerra, l’Italia lavora con determinazione, insieme a tutta la comunità internazionale, per la cessazione delle ostilità.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Siamo impegnati, insieme ai nostri partner europei, per realizzare delle tregue umanitarie localizzate per organizzare evacuazioni e portare beni di prima necessità.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La nostra volontà di pace si scontra però con quella del Presidente Putin, che non mostra interesse ad arrivare a una tregua che permetta ai negoziati di procedere con successo.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Il suo disegno appare piuttosto quello di guadagnare terreno dal punto di vista militare, anche ricorrendo a bombardamenti a tappeto come quelli a cui assistiamo a Mariupol.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Per questo, la comunità internazionale ha adottato sanzioni sempre più dure nei confronti della Russia.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Lo sforzo diplomatico potrà avere successo solo quando lo vorrà realmente anche Mosca.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Non dobbiamo però commettere l’errore di avallare una contrapposizione tra Occidente e Russia e alimentare così uno scontro di civiltà.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Molti cittadini russi si sono schierati contro la guerra del Presidente Putin e protestano, mettendo a rischio la propria incolumità.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 loro va l’amicizia e la solidarietà di tutto il Governo e mia personale.</w:t>
      </w:r>
    </w:p>
    <w:p w14:paraId="3481526A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Il Consiglio europeo riaffermerà anche il sostegno al percorso dell’Ucraina verso l’adesione all’Unione europea.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Questo processo ha tempi lunghi, necessari a permettere un’integrazione reale e funzionante.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Ma, come ho ribadito anche ieri in Parlamento, l’Italia è al fianco dell’Ucraina in questo processo.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L’UE ha già attivato la procedura, ma in questo momento è importante mandare a Kiev un ulteriore segnale di incoraggiamento. </w:t>
      </w:r>
    </w:p>
    <w:p w14:paraId="60437051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Lo sforzo diplomatico deve coinvolgere anche altri Paesi.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</w:r>
      <w:bookmarkEnd w:id="0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In particolare, la Cina ricopre un ruolo di grande influenza nelle dinamiche geopolitiche e di sicurezza globali.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È fondamentale che l’Unione Europea sia compatta nel mantenere aperti spazi di dialogo con Pechino, perché contribuisca in modo costruttivo allo sforzo internazionale di mediazione.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lastRenderedPageBreak/>
        <w:t>Il Vertice Ue-Cina del prossimo 1° aprile sarà un’occasione per sottolineare la nostra posizione.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Dobbiamo ribadire la nostra aspettativa che Pechino si astenga da azioni di supporto a Mosca e partecipi attivamente e con autorevolezza allo sforzo di pace.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Questo messaggio è emerso anche durante il lungo confronto telefonico tra il Presidente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Biden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e il Presidente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Xi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Jinping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il 18 marzo e negli sforzi diplomatici che lo hanno preceduto.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Mi riferisco in particolare all’incontro tra il Consigliere per la sicurezza americano, Jake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Sullivan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, e il Direttore dell’Ufficio della Commissione Affari Esteri cinese, Yang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Jiechi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, avvenuto a Roma la settimana scorsa.  </w:t>
      </w:r>
    </w:p>
    <w:p w14:paraId="1638BC07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Allo stesso tempo, dobbiamo seguire con attenzione quanto accade nei Balcani occidentali, per prevenire possibili azioni destabilizzatrici di Mosca.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Nel Consiglio discuteremo della prolungata crisi politica in Bosnia-Erzegovina.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Siamo impegnati per disinnescare le provocazioni secessioniste della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Republika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Srpska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e per far rientrare la crisi politica e istituzionale che paralizza il Paese dallo scorso luglio.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È fondamentale che la Bosnia-Erzegovina riprenda la strada delle riforme per avvicinarsi all’Unione europea.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Il nostro obiettivo è assicurare l’organizzazione delle elezioni politiche in autunno, per evitare ulteriore incertezza nel Paese.</w:t>
      </w:r>
    </w:p>
    <w:p w14:paraId="199221E7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La crisi in Ucraina ha generato un massiccio flusso di profughi, che attualmente conta oltre tre milioni e 850mila persone.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Di fronte all’aumento quotidiano del numero di rifugiati sono essenziali un coordinamento europeo e un impegno finanziario adeguato.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L’Unione europea deve garantire una puntuale attuazione negli Stati membri della direttiva per la Protezione Temporanea, approvata per la prima volta nella nostra storia.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La Presidente della Commissione europea, Ursula von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der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Leyen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, ha proposto ieri di utilizzare i fondi europei con la massima flessibilità a sostegno di chi scappa dalla guerra in Ucraina, e di stanziare altri 3 miliardi di euro a favore degli Stati membri coinvolti nell’accoglienza.</w:t>
      </w:r>
    </w:p>
    <w:p w14:paraId="162B47BA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L’Italia appoggia con convinzione la posizione della Commissione e continua a fare la sua parte con determinazione, altruismo, solidarietà.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Nel Consiglio dei Ministri della settimana scorsa abbiamo approvato nuovi fondi per l’accoglienza, per un totale di 428 milioni di euro.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La generosità mostrata in questi giorni dagli italiani è davvero straordinaria.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Voglio ringraziare ancora una volta la Protezione civile, le Regioni, i Comuni, il terzo settore e gli enti religiosi per il loro incessante impegno.</w:t>
      </w:r>
    </w:p>
    <w:p w14:paraId="156B75E0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Il Consiglio europeo si confronterà anche sull’aumento dei prezzi dell’energia.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Dopo i picchi raggiunti due settimane fa, i prezzi del gas e dell’energia elettrica sono scesi nuovamente.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Il prezzo spot del gas sul mercato europeo oggi è dimezzato rispetto alle punte di circa 200€/MWh raggiunte l’8 marzo.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Sono però prezzi ancora molto alti rispetto ai livelli storici, più di 5 volte quelli di un anno fa.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La volatilità dei mercati energetici ha inciso anche sui prezzi ai distributori, che all’inizio del mese in Italia hanno superato i 2 euro al litro.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Secondo la Commissione europea, l’andamento dei prezzi italiani è in linea con quelli del resto dell’Europa.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Lunedì 14 marzo, il diesel costava 2,31€ in Germania, 2,14€ in Francia e 2,15€ in Italia.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Nel nostro caso, rappresenta un aumento del 40% per la benzina e del 50% per il diesel rispetto a un anno fa.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Venerdì scorso, il Governo è intervenuto per difendere il potere d’acquisto delle famiglie, soprattutto 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lastRenderedPageBreak/>
        <w:t>quelle più vulnerabili, e aiutare le imprese a sostenere i costi di produzione.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Abbiamo deciso di ridurre le accise sulla benzina e sul gasolio di 25 centesimi al litro per un mese, abbattendo così gran parte degli aumenti registrati nelle ultime settimane.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Creiamo dei fondi per sostenere i settori dell’agricoltura, della pesca, dell’autotrasporto, che sono stati particolarmente colpiti dalla crisi.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Con le nuove misure, il numero di famiglie che ha accesso ai bonus sociali per elettricità e gas - ed è così protetto dai rincari delle bollette - passa da 4 a 5,2 milioni.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Le imprese potranno rateizzare le bollette, uno strumento già a disposizione delle famiglie.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Istituiamo nuovi crediti d’imposta per le imprese sul costo dell’energia e del gas e rafforziamo quelli esistenti.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Ampliamo i poteri dell’Autorità di Regolazione Energia, Reti e Ambiente e del Garante per la Sorveglianza dei prezzi, perché possano monitorare meglio le variazioni sui mercati energetici.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Infine, rifinanziamo la cassa integrazione per le aziende in difficoltà.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Il pacchetto ammonta in totale a circa 4 miliardi, ed è finanziato in gran parte grazie alla tassazione dei profitti in eccesso maturati in questi mesi dai produttori del settore energetico.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In questa crisi, ognuno deve fare la propria parte.</w:t>
      </w:r>
    </w:p>
    <w:p w14:paraId="5695DAE8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Il Governo è consapevole della necessità di ulteriori interventi, ma la risposta a difesa di consumatori e imprese deve essere europea.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Dobbiamo arrivare a una gestione davvero comune del mercato dell’energia.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È auspicabile un coordinamento tra Commissione e Stati membri sulla diversificazione degli approvvigionamenti di gas, soprattutto di gas liquido.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Serve un approccio condiviso sugli acquisti e sugli stoccaggi, per rafforzare il nostro potere contrattuale verso i Paesi fornitori e tutelarci a vicenda in caso di shock isolati.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La creazione di un tetto europeo ai prezzi del gas è al centro di un confronto che abbiamo avviato con la Presidente von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der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Leyen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Vogliamo poi spezzare il legame tra il prezzo del gas e quello dell’elettricità, che è in parte prodotta da fonti alternative, il cui prezzo non ha molto a che vedere con quello del gas.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È essenziale puntare in modo deciso sull’energia rinnovabile e dare un ruolo centrale alla sponda sud del Mediterraneo.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Su tutti questi fronti, auspico che il Consiglio europeo prenda decisioni ambiziose che possano essere rapidamente operative. </w:t>
      </w:r>
    </w:p>
    <w:p w14:paraId="4DFBC987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Come abbiamo concordato al Consiglio europeo informale della scorsa settimana, le ricadute economiche del conflitto in Ucraina vanno oltre il costo dell’energia.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Si registrano aumenti anche nei prezzi dei generi alimentari.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 livello globale, sono cresciuti in modo quasi continuo da metà 2020, e sono attualmente ai massimi storici.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Questo ha delle conseguenze tangibili per i prezzi nei supermercati.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Secondo i dati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Eurostat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, a febbraio i prezzi dei beni alimentari in Italia sono aumentati del 5,2% rispetto all’anno scorso.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In particolare, il prezzo della pasta è cresciuto di circa l’11%, quello dello zucchero e del pane di circa il 5%, quello della carne di quasi il 4%.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Questi rincari dipendono da shock esterni, che ci impongono di accelerare nel percorso di autonomia strategica in campo alimentare.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Questo processo è alla portata della capacità tecnologica e produttiva europea, ma richiede un impegno immediato, ad esempio l’aumento delle aree coltivabili.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Allo stesso tempo, dobbiamo esser pronti a diversificare maggiormente le nostre fonti di importazione.</w:t>
      </w:r>
    </w:p>
    <w:p w14:paraId="4F6F1250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Il rafforzamento dell’economia europea passa anche dalla tutela delle aree industriali strategiche, da sostenere con adeguati investimenti in innovazione e ricerca scientifica e tecnologica.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lastRenderedPageBreak/>
        <w:t>Una priorità è aumentare la produzione di microchip in Europa.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Un recente studio del Fondo Monetario Internazionale ha stimato che l’anno scorso le strozzature nelle catene del valore sono costate all’area euro circa il 2% di prodotto interno lordo.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La carenza di semiconduttori - essenziali per molte industrie strategiche come i mezzi di trasporto, i macchinari industriali, la difesa – è stata particolarmente dannosa.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L’ambizione europea è aumentare la propria quota di mercato dal 10 al 20 per cento della produzione globale di chip entro il 2030.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Questo incremento ci permetterebbe di garantire la sicurezza degli approvvigionamenti a fronte di eventuali ritardi nelle importazioni.</w:t>
      </w:r>
    </w:p>
    <w:p w14:paraId="731E71D5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Il “Chips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Act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” della Commissione europea costituisce un importante passo in avanti per raggiungere questi obiettivi.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Intendiamo aumentare gli investimenti nella ricerca, e sviluppare e rafforzare una capacità produttiva verticalmente integrata, che assicuri un’effettiva autonomia nella produzione e packaging dei microchip.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Dobbiamo accelerare la realizzazione del secondo Importante Progetto di Comune Interesse Europeo nella microelettronica.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 livello nazionale, il Governo ha approvato a inizio mese la creazione di un fondo da oltre 4 miliardi per sviluppare l’industria e la ricerca sui semiconduttori e sulle tecnologie innovative.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Dobbiamo rimanere aperti anche agli investimenti esteri, ma con un approccio coordinato fra Stati membri e norme che favoriscano le ricadute positive per l’intera industria europea.</w:t>
      </w:r>
    </w:p>
    <w:p w14:paraId="7201F25C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La guerra in Ucraina ha messo in evidenza, ancora una volta, l’importanza di rafforzare la politica di sicurezza e di difesa dell’UE, in complementarità con l’Alleanza Atlantica.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Un’Europa più forte nella difesa rende anche la NATO più forte.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Il Consiglio europeo è chiamato ad approvare la Bussola Strategica, in seguito alla sua adozione lunedì 21 marzo al Consiglio dei Ministri degli Affari Esteri e della Difesa.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La Bussola è stata adattata alla luce della guerra in Ucraina, che rappresenta la più grave crisi in ambito di difesa nella storia dell’Unione Europea.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Prevede l’istituzione di una forza di schieramento rapido europea fino a 5 mila soldati e 200 esperti in missioni di politica di difesa e sicurezza comune.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 xml:space="preserve">A queste iniziative si aggiungono investimenti nell’intelligence e nella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cybersicurezza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; lo sviluppo di una strategia spaziale europea per la sicurezza e la difesa; e il rafforzamento del ruolo europeo quale attore della sicurezza marittima.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Nel percorso verso una difesa comune, è essenziale sviluppare capacità adeguate, per essere un fornitore di sicurezza credibile.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Ciò può avvenire soltanto se rafforziamo la nostra industria della difesa e la rendiamo più competitiva dal punto di vista tecnologico e soprattutto meglio integrata a livello europeo.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Abbiamo tutti da guadagnare da un miglior coordinamento, anche nell’ambito della difesa.</w:t>
      </w:r>
    </w:p>
    <w:p w14:paraId="4FBBA889" w14:textId="77777777" w:rsidR="00AC318F" w:rsidRPr="00E234E7" w:rsidRDefault="00AC318F" w:rsidP="00AC318F">
      <w:pPr>
        <w:pStyle w:val="NormaleWeb"/>
        <w:spacing w:before="0" w:beforeAutospacing="0" w:after="450" w:afterAutospacing="0"/>
        <w:rPr>
          <w:rFonts w:asciiTheme="minorHAnsi" w:hAnsiTheme="minorHAnsi" w:cstheme="minorHAnsi"/>
          <w:color w:val="333333"/>
          <w:spacing w:val="2"/>
          <w:sz w:val="22"/>
          <w:szCs w:val="22"/>
        </w:rPr>
      </w:pP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La pandemia di Covid-19 ha visto l’Unione europea collaborare nell’approvvigionamento dei vaccini e nella creazione del programma </w:t>
      </w:r>
      <w:proofErr w:type="spellStart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>Next</w:t>
      </w:r>
      <w:proofErr w:type="spellEnd"/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Generation EU. 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Dobbiamo mostrare la stessa ambizione e lungimiranza in risposta alla guerra in Ucraina, e alle sue conseguenze politiche, economiche, sociali.</w:t>
      </w:r>
      <w:r w:rsidRPr="00E234E7">
        <w:rPr>
          <w:rFonts w:asciiTheme="minorHAnsi" w:hAnsiTheme="minorHAnsi" w:cstheme="minorHAnsi"/>
          <w:color w:val="333333"/>
          <w:spacing w:val="2"/>
          <w:sz w:val="22"/>
          <w:szCs w:val="22"/>
        </w:rPr>
        <w:br/>
        <w:t>Per riuscirci, il sostegno del Parlamento è essenziale - e per questo vi ringrazio</w:t>
      </w:r>
    </w:p>
    <w:p w14:paraId="1185D299" w14:textId="77777777" w:rsidR="002A5642" w:rsidRPr="00E234E7" w:rsidRDefault="002A5642" w:rsidP="002A5642">
      <w:pPr>
        <w:rPr>
          <w:rFonts w:eastAsia="Times New Roman" w:cstheme="minorHAnsi"/>
          <w:sz w:val="22"/>
          <w:szCs w:val="22"/>
          <w:lang w:eastAsia="it-IT"/>
        </w:rPr>
      </w:pPr>
    </w:p>
    <w:p w14:paraId="70F65B58" w14:textId="77777777" w:rsidR="00950A52" w:rsidRPr="00E234E7" w:rsidRDefault="00E234E7">
      <w:pPr>
        <w:rPr>
          <w:rFonts w:cstheme="minorHAnsi"/>
          <w:sz w:val="22"/>
          <w:szCs w:val="22"/>
        </w:rPr>
      </w:pPr>
    </w:p>
    <w:sectPr w:rsidR="00950A52" w:rsidRPr="00E234E7" w:rsidSect="00B176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2"/>
    <w:rsid w:val="002A5642"/>
    <w:rsid w:val="00385E12"/>
    <w:rsid w:val="00AC318F"/>
    <w:rsid w:val="00B176B4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C1E"/>
  <w15:chartTrackingRefBased/>
  <w15:docId w15:val="{C277366E-7CE7-9744-A91C-0EBA965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3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Stefano Marrone</cp:lastModifiedBy>
  <cp:revision>2</cp:revision>
  <dcterms:created xsi:type="dcterms:W3CDTF">2022-03-23T22:25:00Z</dcterms:created>
  <dcterms:modified xsi:type="dcterms:W3CDTF">2022-03-23T22:25:00Z</dcterms:modified>
</cp:coreProperties>
</file>